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2F" w:rsidRDefault="003471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0F4AC" wp14:editId="46773F27">
                <wp:simplePos x="0" y="0"/>
                <wp:positionH relativeFrom="column">
                  <wp:posOffset>2262505</wp:posOffset>
                </wp:positionH>
                <wp:positionV relativeFrom="paragraph">
                  <wp:posOffset>-671195</wp:posOffset>
                </wp:positionV>
                <wp:extent cx="1219200" cy="14763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12F" w:rsidRDefault="0034712F">
                            <w:r w:rsidRPr="0019332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B36B878" wp14:editId="0D4FB381">
                                  <wp:extent cx="866775" cy="1116019"/>
                                  <wp:effectExtent l="0" t="0" r="0" b="8255"/>
                                  <wp:docPr id="16" name="Picture 6" descr="http://idfparis.interieur.ader.gouv.fr/attachements/bloc-marque-Quadri-Paris-charte2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6" descr="http://idfparis.interieur.ader.gouv.fr/attachements/bloc-marque-Quadri-Paris-charte2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36" cy="11151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78.15pt;margin-top:-52.85pt;width:96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" filled="f" stroked="f" strokeweight=".5pt">
                <v:textbox>
                  <w:txbxContent>
                    <w:p w:rsidR="0034712F" w:rsidRDefault="0034712F">
                      <w:r w:rsidRPr="0019332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B36B878" wp14:editId="0D4FB381">
                            <wp:extent cx="866775" cy="1116019"/>
                            <wp:effectExtent l="0" t="0" r="0" b="8255"/>
                            <wp:docPr id="16" name="Picture 6" descr="http://idfparis.interieur.ader.gouv.fr/attachements/bloc-marque-Quadri-Paris-charte2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6" descr="http://idfparis.interieur.ader.gouv.fr/attachements/bloc-marque-Quadri-Paris-charte2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36" cy="11151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4712F" w:rsidRDefault="0034712F"/>
    <w:p w:rsidR="0034712F" w:rsidRPr="00210349" w:rsidRDefault="0034712F" w:rsidP="0034712F">
      <w:pPr>
        <w:jc w:val="center"/>
        <w:rPr>
          <w:rFonts w:ascii="Times New Roman" w:hAnsi="Times New Roman" w:cs="Times New Roman"/>
          <w:b/>
          <w:smallCaps/>
          <w:sz w:val="20"/>
        </w:rPr>
      </w:pPr>
      <w:r w:rsidRPr="00210349">
        <w:rPr>
          <w:rFonts w:ascii="Times New Roman" w:hAnsi="Times New Roman" w:cs="Times New Roman"/>
          <w:b/>
          <w:smallCaps/>
          <w:sz w:val="20"/>
        </w:rPr>
        <w:t>Direction départementale de la cohésion sociale de Paris</w:t>
      </w:r>
    </w:p>
    <w:p w:rsidR="0034712F" w:rsidRPr="009C002D" w:rsidRDefault="0034712F" w:rsidP="003471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9C002D">
        <w:rPr>
          <w:rFonts w:ascii="Times New Roman" w:hAnsi="Times New Roman" w:cs="Times New Roman"/>
          <w:b/>
          <w:color w:val="0070C0"/>
        </w:rPr>
        <w:t>Appel à projets 2017</w:t>
      </w:r>
    </w:p>
    <w:p w:rsidR="0034712F" w:rsidRPr="00210349" w:rsidRDefault="0034712F" w:rsidP="0034712F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  <w:b/>
          <w:sz w:val="10"/>
        </w:rPr>
      </w:pPr>
    </w:p>
    <w:p w:rsidR="0034712F" w:rsidRPr="009C002D" w:rsidRDefault="0034712F" w:rsidP="00E61E6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  <w:r w:rsidRPr="009C002D">
        <w:rPr>
          <w:rFonts w:ascii="Times New Roman" w:hAnsi="Times New Roman" w:cs="Times New Roman"/>
        </w:rPr>
        <w:t xml:space="preserve">Politique nationale d’accompagnement et d’intégration des étrangers en France </w:t>
      </w:r>
    </w:p>
    <w:p w:rsidR="00E61E6B" w:rsidRPr="009C002D" w:rsidRDefault="00E61E6B" w:rsidP="00E61E6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  <w:r w:rsidRPr="009C002D">
        <w:rPr>
          <w:rFonts w:ascii="Times New Roman" w:hAnsi="Times New Roman" w:cs="Times New Roman"/>
        </w:rPr>
        <w:t>Programme 104-action 12</w:t>
      </w:r>
    </w:p>
    <w:p w:rsidR="00E61E6B" w:rsidRPr="009C002D" w:rsidRDefault="00E61E6B" w:rsidP="00E61E6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  <w:r w:rsidRPr="009C002D">
        <w:rPr>
          <w:rFonts w:ascii="Times New Roman" w:hAnsi="Times New Roman" w:cs="Times New Roman"/>
        </w:rPr>
        <w:t>Accompagnement des étrangers primo-arrivants (hors UE)</w:t>
      </w:r>
    </w:p>
    <w:p w:rsidR="00E61E6B" w:rsidRPr="00210349" w:rsidRDefault="00E61E6B" w:rsidP="00E61E6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</w:p>
    <w:p w:rsidR="00210349" w:rsidRPr="009C002D" w:rsidRDefault="00210349" w:rsidP="00E61E6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  <w:b/>
          <w:smallCaps/>
          <w:color w:val="0070C0"/>
        </w:rPr>
      </w:pPr>
      <w:r w:rsidRPr="009C002D">
        <w:rPr>
          <w:rFonts w:ascii="Times New Roman" w:hAnsi="Times New Roman" w:cs="Times New Roman"/>
          <w:b/>
          <w:smallCaps/>
          <w:color w:val="0070C0"/>
        </w:rPr>
        <w:t>Cahier des charges</w:t>
      </w:r>
    </w:p>
    <w:p w:rsidR="00841AA1" w:rsidRPr="009C002D" w:rsidRDefault="00841AA1" w:rsidP="00E67CC6">
      <w:pPr>
        <w:pStyle w:val="Paragraphedeliste"/>
        <w:ind w:left="1080"/>
        <w:rPr>
          <w:rFonts w:ascii="Times New Roman" w:hAnsi="Times New Roman" w:cs="Times New Roman"/>
          <w:b/>
          <w:color w:val="0070C0"/>
        </w:rPr>
      </w:pPr>
    </w:p>
    <w:p w:rsidR="00544C54" w:rsidRPr="000A442D" w:rsidRDefault="00544C54" w:rsidP="0002610E">
      <w:pPr>
        <w:pStyle w:val="Paragraphedeliste"/>
        <w:ind w:left="1080"/>
        <w:rPr>
          <w:rFonts w:ascii="Times New Roman" w:hAnsi="Times New Roman" w:cs="Times New Roman"/>
        </w:rPr>
      </w:pPr>
    </w:p>
    <w:p w:rsidR="002A6CCD" w:rsidRPr="002A6CCD" w:rsidRDefault="00115F25" w:rsidP="002A6CCD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Public-cible</w:t>
      </w:r>
    </w:p>
    <w:p w:rsidR="002A6CCD" w:rsidRPr="004E0CA1" w:rsidRDefault="002A6CCD" w:rsidP="002A6CCD">
      <w:pPr>
        <w:pStyle w:val="Paragraphedeliste"/>
        <w:spacing w:after="0"/>
        <w:jc w:val="both"/>
        <w:rPr>
          <w:rFonts w:ascii="Times New Roman" w:hAnsi="Times New Roman" w:cs="Times New Roman"/>
          <w:sz w:val="10"/>
        </w:rPr>
      </w:pPr>
    </w:p>
    <w:p w:rsidR="00210349" w:rsidRPr="002A6CCD" w:rsidRDefault="00C014CB" w:rsidP="002A6CCD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 w:rsidRPr="002A6CCD">
        <w:rPr>
          <w:rFonts w:ascii="Times New Roman" w:hAnsi="Times New Roman" w:cs="Times New Roman"/>
        </w:rPr>
        <w:t>L</w:t>
      </w:r>
      <w:r w:rsidR="00663CF7" w:rsidRPr="002A6CCD">
        <w:rPr>
          <w:rFonts w:ascii="Times New Roman" w:hAnsi="Times New Roman" w:cs="Times New Roman"/>
        </w:rPr>
        <w:t>’identification du public-</w:t>
      </w:r>
      <w:r w:rsidR="00526E43" w:rsidRPr="002A6CCD">
        <w:rPr>
          <w:rFonts w:ascii="Times New Roman" w:hAnsi="Times New Roman" w:cs="Times New Roman"/>
        </w:rPr>
        <w:t xml:space="preserve">cible </w:t>
      </w:r>
      <w:r w:rsidR="00663CF7" w:rsidRPr="002A6CCD">
        <w:rPr>
          <w:rFonts w:ascii="Times New Roman" w:hAnsi="Times New Roman" w:cs="Times New Roman"/>
        </w:rPr>
        <w:t>est le premier critère d’entrée dans le dispositif.</w:t>
      </w:r>
      <w:r w:rsidR="000A442D" w:rsidRPr="002A6CCD">
        <w:rPr>
          <w:rFonts w:ascii="Times New Roman" w:hAnsi="Times New Roman" w:cs="Times New Roman"/>
        </w:rPr>
        <w:t xml:space="preserve"> </w:t>
      </w:r>
    </w:p>
    <w:p w:rsidR="004C06C3" w:rsidRDefault="005A44D1" w:rsidP="00526E4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public éligible est celui des ressortissants hors Union européenne</w:t>
      </w:r>
      <w:r w:rsidR="00A22EFE">
        <w:rPr>
          <w:rFonts w:ascii="Times New Roman" w:hAnsi="Times New Roman" w:cs="Times New Roman"/>
        </w:rPr>
        <w:t>, en situation régulière et</w:t>
      </w:r>
      <w:r>
        <w:rPr>
          <w:rFonts w:ascii="Times New Roman" w:hAnsi="Times New Roman" w:cs="Times New Roman"/>
        </w:rPr>
        <w:t xml:space="preserve"> </w:t>
      </w:r>
      <w:r w:rsidR="00841AA1">
        <w:rPr>
          <w:rFonts w:ascii="Times New Roman" w:hAnsi="Times New Roman" w:cs="Times New Roman"/>
        </w:rPr>
        <w:t>signataire</w:t>
      </w:r>
      <w:r w:rsidR="000A442D">
        <w:rPr>
          <w:rFonts w:ascii="Times New Roman" w:hAnsi="Times New Roman" w:cs="Times New Roman"/>
        </w:rPr>
        <w:t>s d’un contrat d’accuei</w:t>
      </w:r>
      <w:r w:rsidR="00841AA1">
        <w:rPr>
          <w:rFonts w:ascii="Times New Roman" w:hAnsi="Times New Roman" w:cs="Times New Roman"/>
        </w:rPr>
        <w:t>l et d’intégration (CAI) ou d’un</w:t>
      </w:r>
      <w:r w:rsidR="000A442D">
        <w:rPr>
          <w:rFonts w:ascii="Times New Roman" w:hAnsi="Times New Roman" w:cs="Times New Roman"/>
        </w:rPr>
        <w:t xml:space="preserve"> contrat d’intégration républicaine (CIR) depuis moins de 5 ans. </w:t>
      </w:r>
    </w:p>
    <w:p w:rsidR="00E24440" w:rsidRPr="009203CC" w:rsidRDefault="00E24440" w:rsidP="00526E43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E24440" w:rsidRDefault="009C002D" w:rsidP="00E24440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personnes</w:t>
      </w:r>
      <w:r w:rsidR="004C06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anciennement établies sur le territoire et ayant demandé à bénéficier des dispositions d’un </w:t>
      </w:r>
      <w:r w:rsidR="00841AA1">
        <w:rPr>
          <w:rFonts w:ascii="Times New Roman" w:hAnsi="Times New Roman" w:cs="Times New Roman"/>
        </w:rPr>
        <w:t xml:space="preserve">contrat d’intégration </w:t>
      </w:r>
      <w:r w:rsidR="004C06C3">
        <w:rPr>
          <w:rFonts w:ascii="Times New Roman" w:hAnsi="Times New Roman" w:cs="Times New Roman"/>
        </w:rPr>
        <w:t>sont également considérées comme public-cible</w:t>
      </w:r>
      <w:r>
        <w:rPr>
          <w:rFonts w:ascii="Times New Roman" w:hAnsi="Times New Roman" w:cs="Times New Roman"/>
        </w:rPr>
        <w:t>.</w:t>
      </w:r>
      <w:r w:rsidR="00115F25" w:rsidRPr="00115F25">
        <w:rPr>
          <w:rFonts w:ascii="Times New Roman" w:hAnsi="Times New Roman" w:cs="Times New Roman"/>
        </w:rPr>
        <w:t xml:space="preserve"> </w:t>
      </w:r>
    </w:p>
    <w:p w:rsidR="00E24440" w:rsidRPr="009203CC" w:rsidRDefault="00E24440" w:rsidP="00E24440">
      <w:pPr>
        <w:pStyle w:val="Paragraphedeliste"/>
        <w:ind w:left="0"/>
        <w:jc w:val="both"/>
        <w:rPr>
          <w:rFonts w:ascii="Times New Roman" w:hAnsi="Times New Roman" w:cs="Times New Roman"/>
          <w:sz w:val="10"/>
        </w:rPr>
      </w:pPr>
    </w:p>
    <w:p w:rsidR="00E24440" w:rsidRDefault="00E24440" w:rsidP="009203CC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6F7426">
        <w:rPr>
          <w:rFonts w:ascii="Times New Roman" w:hAnsi="Times New Roman" w:cs="Times New Roman"/>
        </w:rPr>
        <w:t xml:space="preserve">es </w:t>
      </w:r>
      <w:r>
        <w:rPr>
          <w:rFonts w:ascii="Times New Roman" w:hAnsi="Times New Roman" w:cs="Times New Roman"/>
        </w:rPr>
        <w:t xml:space="preserve">projets associatifs locaux relevant du programme 104 s’inscrivent dans le cadre du parcours d’intégration républicaine institué par la loi du 7 mars 2016. Ils sont amenés à prendre  </w:t>
      </w:r>
      <w:r w:rsidRPr="00A601A8">
        <w:rPr>
          <w:rFonts w:ascii="Times New Roman" w:hAnsi="Times New Roman" w:cs="Times New Roman"/>
        </w:rPr>
        <w:t>le relais du premier accompagnement linguistique et civique réalisé par l’Office français de l’immigration et de l’intégration (OFII)</w:t>
      </w:r>
      <w:r w:rsidR="00405FE5">
        <w:rPr>
          <w:rFonts w:ascii="Times New Roman" w:hAnsi="Times New Roman" w:cs="Times New Roman"/>
        </w:rPr>
        <w:t>,</w:t>
      </w:r>
      <w:r w:rsidRPr="00A601A8">
        <w:rPr>
          <w:rFonts w:ascii="Times New Roman" w:hAnsi="Times New Roman" w:cs="Times New Roman"/>
        </w:rPr>
        <w:t xml:space="preserve"> et</w:t>
      </w:r>
      <w:r w:rsidR="00405FE5">
        <w:rPr>
          <w:rFonts w:ascii="Times New Roman" w:hAnsi="Times New Roman" w:cs="Times New Roman"/>
        </w:rPr>
        <w:t xml:space="preserve"> devront viser le </w:t>
      </w:r>
      <w:r w:rsidR="00405FE5" w:rsidRPr="00405FE5">
        <w:rPr>
          <w:rFonts w:ascii="Times New Roman" w:hAnsi="Times New Roman" w:cs="Times New Roman"/>
          <w:b/>
        </w:rPr>
        <w:t>niveau A2</w:t>
      </w:r>
      <w:r w:rsidRPr="00405FE5">
        <w:rPr>
          <w:rFonts w:ascii="Times New Roman" w:hAnsi="Times New Roman" w:cs="Times New Roman"/>
          <w:b/>
        </w:rPr>
        <w:t xml:space="preserve"> du CECR</w:t>
      </w:r>
      <w:r w:rsidR="00405FE5" w:rsidRPr="00405FE5">
        <w:rPr>
          <w:rFonts w:ascii="Times New Roman" w:hAnsi="Times New Roman" w:cs="Times New Roman"/>
          <w:b/>
        </w:rPr>
        <w:t>L</w:t>
      </w:r>
      <w:r w:rsidRPr="004C1A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203CC" w:rsidRPr="009203CC" w:rsidRDefault="009203CC" w:rsidP="009203CC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10"/>
        </w:rPr>
      </w:pPr>
    </w:p>
    <w:p w:rsidR="00A41373" w:rsidRPr="00405FE5" w:rsidRDefault="00A41373" w:rsidP="005A44D1">
      <w:pPr>
        <w:shd w:val="clear" w:color="auto" w:fill="CCECFF"/>
        <w:spacing w:after="0"/>
        <w:jc w:val="both"/>
        <w:rPr>
          <w:rFonts w:ascii="Times New Roman" w:hAnsi="Times New Roman" w:cs="Times New Roman"/>
          <w:color w:val="0070C0"/>
        </w:rPr>
      </w:pPr>
      <w:r w:rsidRPr="00405FE5">
        <w:rPr>
          <w:rFonts w:ascii="Times New Roman" w:hAnsi="Times New Roman" w:cs="Times New Roman"/>
          <w:b/>
          <w:color w:val="0070C0"/>
        </w:rPr>
        <w:t xml:space="preserve">La liste des numéros de CAI/CIR des personnes bénéficiaires (annexe I) </w:t>
      </w:r>
      <w:r w:rsidR="00E24440" w:rsidRPr="00405FE5">
        <w:rPr>
          <w:rFonts w:ascii="Times New Roman" w:hAnsi="Times New Roman" w:cs="Times New Roman"/>
          <w:b/>
          <w:color w:val="0070C0"/>
        </w:rPr>
        <w:t xml:space="preserve">sera </w:t>
      </w:r>
      <w:r w:rsidRPr="00405FE5">
        <w:rPr>
          <w:rFonts w:ascii="Times New Roman" w:hAnsi="Times New Roman" w:cs="Times New Roman"/>
          <w:b/>
          <w:color w:val="0070C0"/>
        </w:rPr>
        <w:t xml:space="preserve">jointe au dossier </w:t>
      </w:r>
      <w:proofErr w:type="spellStart"/>
      <w:r w:rsidRPr="00405FE5">
        <w:rPr>
          <w:rFonts w:ascii="Times New Roman" w:hAnsi="Times New Roman" w:cs="Times New Roman"/>
          <w:b/>
          <w:i/>
          <w:color w:val="0070C0"/>
        </w:rPr>
        <w:t>Cerfa</w:t>
      </w:r>
      <w:proofErr w:type="spellEnd"/>
      <w:r w:rsidRPr="00405FE5">
        <w:rPr>
          <w:rFonts w:ascii="Times New Roman" w:hAnsi="Times New Roman" w:cs="Times New Roman"/>
          <w:b/>
          <w:color w:val="0070C0"/>
        </w:rPr>
        <w:t xml:space="preserve"> de demande de subvention</w:t>
      </w:r>
      <w:r w:rsidRPr="00405FE5">
        <w:rPr>
          <w:rFonts w:ascii="Times New Roman" w:hAnsi="Times New Roman" w:cs="Times New Roman"/>
          <w:color w:val="0070C0"/>
        </w:rPr>
        <w:t>.</w:t>
      </w:r>
    </w:p>
    <w:p w:rsidR="00F26BDF" w:rsidRDefault="00F26BDF" w:rsidP="00526E43">
      <w:pPr>
        <w:spacing w:after="0"/>
        <w:jc w:val="both"/>
        <w:rPr>
          <w:rFonts w:ascii="Times New Roman" w:hAnsi="Times New Roman" w:cs="Times New Roman"/>
        </w:rPr>
      </w:pPr>
    </w:p>
    <w:p w:rsidR="00405FE5" w:rsidRPr="000A442D" w:rsidRDefault="00405FE5" w:rsidP="00526E43">
      <w:pPr>
        <w:spacing w:after="0"/>
        <w:jc w:val="both"/>
        <w:rPr>
          <w:rFonts w:ascii="Times New Roman" w:hAnsi="Times New Roman" w:cs="Times New Roman"/>
        </w:rPr>
      </w:pPr>
    </w:p>
    <w:p w:rsidR="00E24440" w:rsidRPr="00AC36DA" w:rsidRDefault="00E24440" w:rsidP="00E24440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70C0"/>
        </w:rPr>
      </w:pPr>
      <w:r w:rsidRPr="00AC36DA">
        <w:rPr>
          <w:rFonts w:ascii="Times New Roman" w:hAnsi="Times New Roman" w:cs="Times New Roman"/>
          <w:b/>
          <w:color w:val="0070C0"/>
        </w:rPr>
        <w:t>Procédures</w:t>
      </w:r>
    </w:p>
    <w:p w:rsidR="00E24440" w:rsidRPr="004E0CA1" w:rsidRDefault="00E24440" w:rsidP="00E24440">
      <w:pPr>
        <w:pStyle w:val="Paragraphedeliste"/>
        <w:spacing w:after="0"/>
        <w:ind w:left="1080"/>
        <w:rPr>
          <w:rFonts w:ascii="Times New Roman" w:hAnsi="Times New Roman" w:cs="Times New Roman"/>
          <w:sz w:val="10"/>
        </w:rPr>
      </w:pPr>
    </w:p>
    <w:p w:rsidR="00A37503" w:rsidRPr="00E24440" w:rsidRDefault="00E24440" w:rsidP="009203CC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 w:rsidRPr="00E24440">
        <w:rPr>
          <w:rFonts w:ascii="Times New Roman" w:hAnsi="Times New Roman" w:cs="Times New Roman"/>
        </w:rPr>
        <w:t xml:space="preserve">Les structures porteuses s’engagent dans une démarche de qualité et de normalisation </w:t>
      </w:r>
      <w:r>
        <w:rPr>
          <w:rFonts w:ascii="Times New Roman" w:hAnsi="Times New Roman" w:cs="Times New Roman"/>
        </w:rPr>
        <w:t xml:space="preserve">qu’elles </w:t>
      </w:r>
      <w:r w:rsidRPr="00E24440">
        <w:rPr>
          <w:rFonts w:ascii="Times New Roman" w:hAnsi="Times New Roman" w:cs="Times New Roman"/>
        </w:rPr>
        <w:t>mèneront sur le long</w:t>
      </w:r>
      <w:r>
        <w:rPr>
          <w:rFonts w:ascii="Times New Roman" w:hAnsi="Times New Roman" w:cs="Times New Roman"/>
        </w:rPr>
        <w:t xml:space="preserve"> terme</w:t>
      </w:r>
      <w:r w:rsidR="009203CC">
        <w:rPr>
          <w:rFonts w:ascii="Times New Roman" w:hAnsi="Times New Roman" w:cs="Times New Roman"/>
        </w:rPr>
        <w:t>.</w:t>
      </w:r>
    </w:p>
    <w:p w:rsidR="00E24440" w:rsidRDefault="00E24440" w:rsidP="009203CC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démarche</w:t>
      </w:r>
      <w:r w:rsidR="00993402">
        <w:rPr>
          <w:rFonts w:ascii="Times New Roman" w:hAnsi="Times New Roman" w:cs="Times New Roman"/>
        </w:rPr>
        <w:t xml:space="preserve"> implique la mise en place d’outils de pilotage qualitatifs et quantitatifs simples pour évaluer la performance de l’action :</w:t>
      </w:r>
    </w:p>
    <w:p w:rsidR="009203CC" w:rsidRPr="009203CC" w:rsidRDefault="009203CC" w:rsidP="009203CC">
      <w:pPr>
        <w:pStyle w:val="Paragraphedeliste"/>
        <w:ind w:left="0"/>
        <w:jc w:val="both"/>
        <w:rPr>
          <w:rFonts w:ascii="Times New Roman" w:hAnsi="Times New Roman" w:cs="Times New Roman"/>
          <w:sz w:val="10"/>
        </w:rPr>
      </w:pPr>
    </w:p>
    <w:p w:rsidR="00993402" w:rsidRDefault="002A47F8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Existence d’un dossier d’inscription et de positionnement </w:t>
      </w:r>
      <w:r w:rsidR="00AC36DA">
        <w:rPr>
          <w:rFonts w:ascii="Times New Roman" w:hAnsi="Times New Roman" w:cs="Times New Roman"/>
        </w:rPr>
        <w:t xml:space="preserve">linguistique </w:t>
      </w:r>
      <w:r>
        <w:rPr>
          <w:rFonts w:ascii="Times New Roman" w:hAnsi="Times New Roman" w:cs="Times New Roman"/>
        </w:rPr>
        <w:t>du bénéficiaire</w:t>
      </w:r>
      <w:r w:rsidR="00AC36DA">
        <w:rPr>
          <w:rFonts w:ascii="Times New Roman" w:hAnsi="Times New Roman" w:cs="Times New Roman"/>
        </w:rPr>
        <w:t>,</w:t>
      </w:r>
    </w:p>
    <w:p w:rsidR="00993402" w:rsidRDefault="00993402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Suivi administratif des absences et présences</w:t>
      </w:r>
      <w:r w:rsidR="00AC36DA">
        <w:rPr>
          <w:rFonts w:ascii="Times New Roman" w:hAnsi="Times New Roman" w:cs="Times New Roman"/>
        </w:rPr>
        <w:t>,</w:t>
      </w:r>
      <w:r w:rsidR="00733A28">
        <w:rPr>
          <w:rFonts w:ascii="Times New Roman" w:hAnsi="Times New Roman" w:cs="Times New Roman"/>
        </w:rPr>
        <w:t xml:space="preserve"> recherche des causes de l’absentéisme</w:t>
      </w:r>
      <w:r w:rsidR="00A802AC">
        <w:rPr>
          <w:rFonts w:ascii="Times New Roman" w:hAnsi="Times New Roman" w:cs="Times New Roman"/>
        </w:rPr>
        <w:t>,</w:t>
      </w:r>
    </w:p>
    <w:p w:rsidR="002A47F8" w:rsidRDefault="002A47F8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place d’un outil de suivi et de traçabilité de l’action : date et objectif de séance, thématique abordée et activités langagières …</w:t>
      </w:r>
      <w:r w:rsidR="00AC36DA">
        <w:rPr>
          <w:rFonts w:ascii="Times New Roman" w:hAnsi="Times New Roman" w:cs="Times New Roman"/>
        </w:rPr>
        <w:t>,</w:t>
      </w:r>
    </w:p>
    <w:p w:rsidR="002A47F8" w:rsidRDefault="002A47F8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Remise d’une attestation en fin de session avec indication du nombre d’heures effectivement suivies, du niveau linguistique atteint, des compétences acquises</w:t>
      </w:r>
      <w:r w:rsidR="00AC36DA">
        <w:rPr>
          <w:rFonts w:ascii="Times New Roman" w:hAnsi="Times New Roman" w:cs="Times New Roman"/>
        </w:rPr>
        <w:t xml:space="preserve"> (…),</w:t>
      </w:r>
    </w:p>
    <w:p w:rsidR="002A47F8" w:rsidRDefault="002A47F8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en place d’un recueil de la satisfaction des apprenants</w:t>
      </w:r>
      <w:r w:rsidR="00AC36DA">
        <w:rPr>
          <w:rFonts w:ascii="Times New Roman" w:hAnsi="Times New Roman" w:cs="Times New Roman"/>
        </w:rPr>
        <w:t>,</w:t>
      </w:r>
    </w:p>
    <w:p w:rsidR="002A47F8" w:rsidRDefault="002A47F8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 à disposition d’un local accessible, adapté au nombre de personnes à accueillir et conforme à la réglementation en matière d’hygiène et de sécurité</w:t>
      </w:r>
      <w:r w:rsidR="00AC36DA">
        <w:rPr>
          <w:rFonts w:ascii="Times New Roman" w:hAnsi="Times New Roman" w:cs="Times New Roman"/>
        </w:rPr>
        <w:t>,</w:t>
      </w:r>
    </w:p>
    <w:p w:rsidR="003E112D" w:rsidRDefault="00AC36DA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Engagement de</w:t>
      </w:r>
      <w:r w:rsidR="002A47F8">
        <w:rPr>
          <w:rFonts w:ascii="Times New Roman" w:hAnsi="Times New Roman" w:cs="Times New Roman"/>
        </w:rPr>
        <w:t xml:space="preserve"> partenariats locaux institutionnels ou associatifs</w:t>
      </w:r>
      <w:r w:rsidR="003E112D">
        <w:rPr>
          <w:rFonts w:ascii="Times New Roman" w:hAnsi="Times New Roman" w:cs="Times New Roman"/>
        </w:rPr>
        <w:t xml:space="preserve"> afin d</w:t>
      </w:r>
      <w:r>
        <w:rPr>
          <w:rFonts w:ascii="Times New Roman" w:hAnsi="Times New Roman" w:cs="Times New Roman"/>
        </w:rPr>
        <w:t>’assurer</w:t>
      </w:r>
      <w:r w:rsidR="003E112D">
        <w:rPr>
          <w:rFonts w:ascii="Times New Roman" w:hAnsi="Times New Roman" w:cs="Times New Roman"/>
        </w:rPr>
        <w:t xml:space="preserve"> un accompagnement global des apprenants (accès aux droits, à la culture, à la santé</w:t>
      </w:r>
      <w:r w:rsidR="006548EC">
        <w:rPr>
          <w:rFonts w:ascii="Times New Roman" w:hAnsi="Times New Roman" w:cs="Times New Roman"/>
        </w:rPr>
        <w:t xml:space="preserve">, à la </w:t>
      </w:r>
      <w:r w:rsidR="006548EC">
        <w:rPr>
          <w:rFonts w:ascii="Times New Roman" w:hAnsi="Times New Roman" w:cs="Times New Roman"/>
        </w:rPr>
        <w:lastRenderedPageBreak/>
        <w:t>parentalité</w:t>
      </w:r>
      <w:r w:rsidR="003E112D">
        <w:rPr>
          <w:rFonts w:ascii="Times New Roman" w:hAnsi="Times New Roman" w:cs="Times New Roman"/>
        </w:rPr>
        <w:t>…)</w:t>
      </w:r>
      <w:r>
        <w:rPr>
          <w:rFonts w:ascii="Times New Roman" w:hAnsi="Times New Roman" w:cs="Times New Roman"/>
        </w:rPr>
        <w:t>,</w:t>
      </w:r>
      <w:r w:rsidR="003E112D">
        <w:rPr>
          <w:rFonts w:ascii="Times New Roman" w:hAnsi="Times New Roman" w:cs="Times New Roman"/>
        </w:rPr>
        <w:t xml:space="preserve"> et de les orienter efficacement en fin de parcours (poursuite de la formation linguistique, accès aux formations à visée professionnelle…)</w:t>
      </w:r>
      <w:r>
        <w:rPr>
          <w:rFonts w:ascii="Times New Roman" w:hAnsi="Times New Roman" w:cs="Times New Roman"/>
        </w:rPr>
        <w:t>,</w:t>
      </w:r>
    </w:p>
    <w:p w:rsidR="00913043" w:rsidRDefault="00AC36DA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Participation au réseau linguistique </w:t>
      </w:r>
      <w:r w:rsidR="003C1977">
        <w:rPr>
          <w:rFonts w:ascii="Times New Roman" w:hAnsi="Times New Roman" w:cs="Times New Roman"/>
        </w:rPr>
        <w:t>collaboratif local et contribution à l’échange et à la diffusion des outils et des pratiques,</w:t>
      </w:r>
      <w:r w:rsidR="00913043">
        <w:rPr>
          <w:rFonts w:ascii="Times New Roman" w:hAnsi="Times New Roman" w:cs="Times New Roman"/>
        </w:rPr>
        <w:t xml:space="preserve"> </w:t>
      </w:r>
    </w:p>
    <w:p w:rsidR="003E112D" w:rsidRPr="00913043" w:rsidRDefault="003E112D" w:rsidP="00913043">
      <w:pPr>
        <w:pStyle w:val="Paragraphedeliste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13043">
        <w:rPr>
          <w:rFonts w:ascii="Times New Roman" w:hAnsi="Times New Roman" w:cs="Times New Roman"/>
        </w:rPr>
        <w:t>Inscription de l’</w:t>
      </w:r>
      <w:r w:rsidR="006548EC" w:rsidRPr="00913043">
        <w:rPr>
          <w:rFonts w:ascii="Times New Roman" w:hAnsi="Times New Roman" w:cs="Times New Roman"/>
        </w:rPr>
        <w:t>action sur la cartographie du</w:t>
      </w:r>
      <w:r w:rsidRPr="00913043">
        <w:rPr>
          <w:rFonts w:ascii="Times New Roman" w:hAnsi="Times New Roman" w:cs="Times New Roman"/>
        </w:rPr>
        <w:t xml:space="preserve"> </w:t>
      </w:r>
      <w:r w:rsidRPr="00405FE5">
        <w:rPr>
          <w:rFonts w:ascii="Times New Roman" w:hAnsi="Times New Roman" w:cs="Times New Roman"/>
          <w:b/>
        </w:rPr>
        <w:t>Réseau Alpha</w:t>
      </w:r>
      <w:r w:rsidRPr="00913043">
        <w:rPr>
          <w:rFonts w:ascii="Times New Roman" w:hAnsi="Times New Roman" w:cs="Times New Roman"/>
        </w:rPr>
        <w:t xml:space="preserve"> et mise à jour régulière des données</w:t>
      </w:r>
      <w:r w:rsidR="00913043">
        <w:rPr>
          <w:rFonts w:ascii="Times New Roman" w:hAnsi="Times New Roman" w:cs="Times New Roman"/>
        </w:rPr>
        <w:t> :</w:t>
      </w:r>
      <w:r w:rsidR="00913043" w:rsidRPr="00913043">
        <w:t xml:space="preserve"> </w:t>
      </w:r>
      <w:hyperlink r:id="rId11" w:history="1">
        <w:r w:rsidR="00913043" w:rsidRPr="00913043">
          <w:rPr>
            <w:rStyle w:val="Lienhypertexte"/>
            <w:rFonts w:ascii="Times New Roman" w:hAnsi="Times New Roman" w:cs="Times New Roman"/>
          </w:rPr>
          <w:t>http://www.reseau-alpha.org</w:t>
        </w:r>
      </w:hyperlink>
    </w:p>
    <w:p w:rsidR="00FD1570" w:rsidRDefault="00FD1570" w:rsidP="00D9542F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613B59" w:rsidRPr="00405FE5" w:rsidRDefault="00613B59" w:rsidP="00613B59">
      <w:pPr>
        <w:pStyle w:val="Paragraphedeliste"/>
        <w:shd w:val="clear" w:color="auto" w:fill="CCECFF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405FE5">
        <w:rPr>
          <w:rFonts w:ascii="Times New Roman" w:hAnsi="Times New Roman" w:cs="Times New Roman"/>
          <w:b/>
          <w:color w:val="0070C0"/>
        </w:rPr>
        <w:t>Le cadre de référence méthodologique joint en annexe (annexe II) répertorie l’ensemble des critères de sélection des projets proposés.</w:t>
      </w:r>
    </w:p>
    <w:p w:rsidR="00613B59" w:rsidRDefault="00613B59" w:rsidP="00D9542F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2A47F8" w:rsidRDefault="002A47F8" w:rsidP="00D9542F">
      <w:pPr>
        <w:pStyle w:val="Paragraphedeliste"/>
        <w:ind w:left="0"/>
        <w:jc w:val="both"/>
        <w:rPr>
          <w:rFonts w:ascii="Times New Roman" w:hAnsi="Times New Roman" w:cs="Times New Roman"/>
        </w:rPr>
      </w:pPr>
    </w:p>
    <w:p w:rsidR="002A47F8" w:rsidRPr="00734909" w:rsidRDefault="00733A28" w:rsidP="00AC36DA">
      <w:pPr>
        <w:pStyle w:val="Paragraphedeliste"/>
        <w:numPr>
          <w:ilvl w:val="0"/>
          <w:numId w:val="8"/>
        </w:numPr>
        <w:jc w:val="both"/>
        <w:rPr>
          <w:rFonts w:ascii="Times New Roman" w:hAnsi="Times New Roman" w:cs="Times New Roman"/>
          <w:b/>
          <w:color w:val="0070C0"/>
        </w:rPr>
      </w:pPr>
      <w:r w:rsidRPr="00734909">
        <w:rPr>
          <w:rFonts w:ascii="Times New Roman" w:hAnsi="Times New Roman" w:cs="Times New Roman"/>
          <w:b/>
          <w:color w:val="0070C0"/>
        </w:rPr>
        <w:t>Apprentissage du français : les c</w:t>
      </w:r>
      <w:r w:rsidR="00AC36DA" w:rsidRPr="00734909">
        <w:rPr>
          <w:rFonts w:ascii="Times New Roman" w:hAnsi="Times New Roman" w:cs="Times New Roman"/>
          <w:b/>
          <w:color w:val="0070C0"/>
        </w:rPr>
        <w:t xml:space="preserve">ontenus pédagogiques </w:t>
      </w:r>
    </w:p>
    <w:p w:rsidR="00AC36DA" w:rsidRPr="004E0CA1" w:rsidRDefault="00AC36DA" w:rsidP="00AC36DA">
      <w:pPr>
        <w:pStyle w:val="Paragraphedeliste"/>
        <w:ind w:left="0"/>
        <w:jc w:val="both"/>
        <w:rPr>
          <w:rFonts w:ascii="Times New Roman" w:hAnsi="Times New Roman" w:cs="Times New Roman"/>
          <w:b/>
          <w:color w:val="0070C0"/>
          <w:sz w:val="10"/>
        </w:rPr>
      </w:pPr>
    </w:p>
    <w:p w:rsidR="00733A28" w:rsidRDefault="00733A28" w:rsidP="00D9542F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contenu thématique des ateliers sociolinguistique s’organise en 3 axes thématiques que chaque structure associative pourra explore</w:t>
      </w:r>
      <w:r w:rsidR="00734909">
        <w:rPr>
          <w:rFonts w:ascii="Times New Roman" w:hAnsi="Times New Roman" w:cs="Times New Roman"/>
        </w:rPr>
        <w:t xml:space="preserve">r, organiser et </w:t>
      </w:r>
      <w:r w:rsidR="00187B1D">
        <w:rPr>
          <w:rFonts w:ascii="Times New Roman" w:hAnsi="Times New Roman" w:cs="Times New Roman"/>
        </w:rPr>
        <w:t>développer en autant de thè</w:t>
      </w:r>
      <w:r>
        <w:rPr>
          <w:rFonts w:ascii="Times New Roman" w:hAnsi="Times New Roman" w:cs="Times New Roman"/>
        </w:rPr>
        <w:t>mes, de champs et de mises en situations nécessaires à l’</w:t>
      </w:r>
      <w:r w:rsidR="00187B1D">
        <w:rPr>
          <w:rFonts w:ascii="Times New Roman" w:hAnsi="Times New Roman" w:cs="Times New Roman"/>
        </w:rPr>
        <w:t>acquisition des com</w:t>
      </w:r>
      <w:r>
        <w:rPr>
          <w:rFonts w:ascii="Times New Roman" w:hAnsi="Times New Roman" w:cs="Times New Roman"/>
        </w:rPr>
        <w:t>pétences sociales :</w:t>
      </w:r>
    </w:p>
    <w:p w:rsidR="00187B1D" w:rsidRPr="00734909" w:rsidRDefault="00187B1D" w:rsidP="00D9542F">
      <w:pPr>
        <w:pStyle w:val="Paragraphedeliste"/>
        <w:ind w:left="0"/>
        <w:jc w:val="both"/>
        <w:rPr>
          <w:rFonts w:ascii="Times New Roman" w:hAnsi="Times New Roman" w:cs="Times New Roman"/>
          <w:sz w:val="10"/>
        </w:rPr>
      </w:pPr>
    </w:p>
    <w:p w:rsidR="00405FE5" w:rsidRPr="00405FE5" w:rsidRDefault="00187B1D" w:rsidP="00405FE5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 pratique : </w:t>
      </w:r>
      <w:r w:rsidR="00734909">
        <w:rPr>
          <w:rFonts w:ascii="Times New Roman" w:hAnsi="Times New Roman" w:cs="Times New Roman"/>
        </w:rPr>
        <w:t>transports, logement, santé, famille, culture</w:t>
      </w:r>
      <w:r w:rsidR="004E0CA1">
        <w:rPr>
          <w:rFonts w:ascii="Times New Roman" w:hAnsi="Times New Roman" w:cs="Times New Roman"/>
        </w:rPr>
        <w:t>, loisirs</w:t>
      </w:r>
      <w:r w:rsidR="00734909">
        <w:rPr>
          <w:rFonts w:ascii="Times New Roman" w:hAnsi="Times New Roman" w:cs="Times New Roman"/>
        </w:rPr>
        <w:t>…</w:t>
      </w:r>
    </w:p>
    <w:p w:rsidR="00733A28" w:rsidRDefault="00733A28" w:rsidP="0091304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Vie publique : </w:t>
      </w:r>
      <w:r w:rsidR="006548EC">
        <w:rPr>
          <w:rFonts w:ascii="Times New Roman" w:hAnsi="Times New Roman" w:cs="Times New Roman"/>
        </w:rPr>
        <w:t>codes socioculturels</w:t>
      </w:r>
      <w:r w:rsidR="00187B1D">
        <w:rPr>
          <w:rFonts w:ascii="Times New Roman" w:hAnsi="Times New Roman" w:cs="Times New Roman"/>
        </w:rPr>
        <w:t>,</w:t>
      </w:r>
      <w:r w:rsidR="00734909">
        <w:rPr>
          <w:rFonts w:ascii="Times New Roman" w:hAnsi="Times New Roman" w:cs="Times New Roman"/>
        </w:rPr>
        <w:t xml:space="preserve"> </w:t>
      </w:r>
      <w:r w:rsidR="00405FE5">
        <w:rPr>
          <w:rFonts w:ascii="Times New Roman" w:hAnsi="Times New Roman" w:cs="Times New Roman"/>
        </w:rPr>
        <w:t xml:space="preserve">compréhension et appropriation des valeurs fondatrices de la République, </w:t>
      </w:r>
      <w:r w:rsidR="00734909">
        <w:rPr>
          <w:rFonts w:ascii="Times New Roman" w:hAnsi="Times New Roman" w:cs="Times New Roman"/>
        </w:rPr>
        <w:t>institutions</w:t>
      </w:r>
      <w:r w:rsidR="003C1977">
        <w:rPr>
          <w:rFonts w:ascii="Times New Roman" w:hAnsi="Times New Roman" w:cs="Times New Roman"/>
        </w:rPr>
        <w:t>,</w:t>
      </w:r>
      <w:r w:rsidR="00734909">
        <w:rPr>
          <w:rFonts w:ascii="Times New Roman" w:hAnsi="Times New Roman" w:cs="Times New Roman"/>
        </w:rPr>
        <w:t xml:space="preserve"> </w:t>
      </w:r>
      <w:r w:rsidR="004E0CA1">
        <w:rPr>
          <w:rFonts w:ascii="Times New Roman" w:hAnsi="Times New Roman" w:cs="Times New Roman"/>
        </w:rPr>
        <w:t xml:space="preserve">citoyenneté, </w:t>
      </w:r>
      <w:r w:rsidR="00734909">
        <w:rPr>
          <w:rFonts w:ascii="Times New Roman" w:hAnsi="Times New Roman" w:cs="Times New Roman"/>
        </w:rPr>
        <w:t>…</w:t>
      </w:r>
    </w:p>
    <w:p w:rsidR="004C1ADE" w:rsidRPr="004C1ADE" w:rsidRDefault="00733A28" w:rsidP="00913043">
      <w:pPr>
        <w:pStyle w:val="Paragraphedeliste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Vie professionnelle</w:t>
      </w:r>
      <w:r w:rsidR="00187B1D">
        <w:rPr>
          <w:rFonts w:ascii="Times New Roman" w:hAnsi="Times New Roman" w:cs="Times New Roman"/>
        </w:rPr>
        <w:t xml:space="preserve"> : codes </w:t>
      </w:r>
      <w:r w:rsidR="00734909">
        <w:rPr>
          <w:rFonts w:ascii="Times New Roman" w:hAnsi="Times New Roman" w:cs="Times New Roman"/>
        </w:rPr>
        <w:t xml:space="preserve">et postures, </w:t>
      </w:r>
      <w:r w:rsidR="00405FE5">
        <w:rPr>
          <w:rFonts w:ascii="Times New Roman" w:hAnsi="Times New Roman" w:cs="Times New Roman"/>
        </w:rPr>
        <w:t xml:space="preserve">« travailler en France », techniques de  </w:t>
      </w:r>
      <w:r w:rsidR="00734909">
        <w:rPr>
          <w:rFonts w:ascii="Times New Roman" w:hAnsi="Times New Roman" w:cs="Times New Roman"/>
        </w:rPr>
        <w:t xml:space="preserve">recherche d’emploi, </w:t>
      </w:r>
      <w:r w:rsidR="00405FE5">
        <w:rPr>
          <w:rFonts w:ascii="Times New Roman" w:hAnsi="Times New Roman" w:cs="Times New Roman"/>
        </w:rPr>
        <w:t xml:space="preserve">élaboration du </w:t>
      </w:r>
      <w:r w:rsidR="00734909">
        <w:rPr>
          <w:rFonts w:ascii="Times New Roman" w:hAnsi="Times New Roman" w:cs="Times New Roman"/>
        </w:rPr>
        <w:t>projet professionnel, …</w:t>
      </w:r>
    </w:p>
    <w:p w:rsidR="00734909" w:rsidRPr="006E19C9" w:rsidRDefault="00734909" w:rsidP="006E19C9">
      <w:pPr>
        <w:pStyle w:val="Paragraphedeliste"/>
        <w:spacing w:after="0"/>
        <w:ind w:left="0"/>
        <w:rPr>
          <w:rFonts w:ascii="Times New Roman" w:hAnsi="Times New Roman" w:cs="Times New Roman"/>
          <w:sz w:val="12"/>
        </w:rPr>
      </w:pPr>
    </w:p>
    <w:p w:rsidR="006E19C9" w:rsidRPr="00405FE5" w:rsidRDefault="006E19C9" w:rsidP="00913043">
      <w:pPr>
        <w:pStyle w:val="Paragraphedeliste"/>
        <w:shd w:val="clear" w:color="auto" w:fill="CCECFF"/>
        <w:spacing w:after="0"/>
        <w:ind w:left="0"/>
        <w:rPr>
          <w:rFonts w:ascii="Times New Roman" w:hAnsi="Times New Roman" w:cs="Times New Roman"/>
          <w:b/>
          <w:color w:val="0070C0"/>
        </w:rPr>
      </w:pPr>
      <w:r w:rsidRPr="00405FE5">
        <w:rPr>
          <w:rFonts w:ascii="Times New Roman" w:hAnsi="Times New Roman" w:cs="Times New Roman"/>
          <w:b/>
          <w:color w:val="0070C0"/>
        </w:rPr>
        <w:t xml:space="preserve">Le cadre de référence </w:t>
      </w:r>
      <w:r w:rsidR="00613B59" w:rsidRPr="00405FE5">
        <w:rPr>
          <w:rFonts w:ascii="Times New Roman" w:hAnsi="Times New Roman" w:cs="Times New Roman"/>
          <w:b/>
          <w:color w:val="0070C0"/>
        </w:rPr>
        <w:t xml:space="preserve">pédagogique </w:t>
      </w:r>
      <w:r w:rsidRPr="00405FE5">
        <w:rPr>
          <w:rFonts w:ascii="Times New Roman" w:hAnsi="Times New Roman" w:cs="Times New Roman"/>
          <w:b/>
          <w:color w:val="0070C0"/>
        </w:rPr>
        <w:t xml:space="preserve">joint en annexe (annexe II) </w:t>
      </w:r>
      <w:r w:rsidR="00613B59" w:rsidRPr="00405FE5">
        <w:rPr>
          <w:rFonts w:ascii="Times New Roman" w:hAnsi="Times New Roman" w:cs="Times New Roman"/>
          <w:b/>
          <w:color w:val="0070C0"/>
        </w:rPr>
        <w:t xml:space="preserve">constitue le cadre de </w:t>
      </w:r>
      <w:r w:rsidRPr="00405FE5">
        <w:rPr>
          <w:rFonts w:ascii="Times New Roman" w:hAnsi="Times New Roman" w:cs="Times New Roman"/>
          <w:b/>
          <w:color w:val="0070C0"/>
        </w:rPr>
        <w:t>l’élaboration du projet pédagogique proposé.</w:t>
      </w:r>
    </w:p>
    <w:p w:rsidR="004E0CA1" w:rsidRDefault="004E0CA1" w:rsidP="006E19C9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405FE5" w:rsidRDefault="00405FE5" w:rsidP="006E19C9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3C1977" w:rsidRPr="009203CC" w:rsidRDefault="003C1977" w:rsidP="003C1977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70C0"/>
        </w:rPr>
      </w:pPr>
      <w:r w:rsidRPr="009203CC">
        <w:rPr>
          <w:rFonts w:ascii="Times New Roman" w:hAnsi="Times New Roman" w:cs="Times New Roman"/>
          <w:b/>
          <w:color w:val="0070C0"/>
        </w:rPr>
        <w:t>Professionnalisation des acteurs</w:t>
      </w:r>
    </w:p>
    <w:p w:rsidR="003C1977" w:rsidRPr="004E0CA1" w:rsidRDefault="003C1977" w:rsidP="003C1977">
      <w:pPr>
        <w:spacing w:after="0"/>
        <w:rPr>
          <w:rFonts w:ascii="Times New Roman" w:hAnsi="Times New Roman" w:cs="Times New Roman"/>
          <w:sz w:val="10"/>
        </w:rPr>
      </w:pPr>
    </w:p>
    <w:p w:rsidR="003C1977" w:rsidRDefault="003C1977" w:rsidP="004E0C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formateurs en ASL doivent attester d’une formation initiale (Master FLE…) ou continue </w:t>
      </w:r>
      <w:r w:rsidR="009203CC">
        <w:rPr>
          <w:rFonts w:ascii="Times New Roman" w:hAnsi="Times New Roman" w:cs="Times New Roman"/>
        </w:rPr>
        <w:t xml:space="preserve"> </w:t>
      </w:r>
      <w:r w:rsidR="00405FE5">
        <w:rPr>
          <w:rFonts w:ascii="Times New Roman" w:hAnsi="Times New Roman" w:cs="Times New Roman"/>
        </w:rPr>
        <w:t xml:space="preserve">(formation RADYA…) </w:t>
      </w:r>
      <w:r>
        <w:rPr>
          <w:rFonts w:ascii="Times New Roman" w:hAnsi="Times New Roman" w:cs="Times New Roman"/>
        </w:rPr>
        <w:t>adaptée</w:t>
      </w:r>
      <w:r w:rsidR="00405F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ou d’une expérience professionnelle significative dans le domaine de la formation sociolinguistique des adultes.</w:t>
      </w:r>
    </w:p>
    <w:p w:rsidR="009203CC" w:rsidRPr="003C1977" w:rsidRDefault="009203CC" w:rsidP="004E0C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production d’outils pédagogiques innovants et leur diffusion au sein du réseau local est vivement encouragée.</w:t>
      </w:r>
    </w:p>
    <w:p w:rsidR="003C1977" w:rsidRDefault="003C1977" w:rsidP="00734909">
      <w:pPr>
        <w:pStyle w:val="Paragraphedeliste"/>
        <w:spacing w:after="0"/>
        <w:rPr>
          <w:rFonts w:ascii="Times New Roman" w:hAnsi="Times New Roman" w:cs="Times New Roman"/>
        </w:rPr>
      </w:pPr>
    </w:p>
    <w:p w:rsidR="00734909" w:rsidRDefault="00734909" w:rsidP="00734909">
      <w:pPr>
        <w:pStyle w:val="Paragraphedeliste"/>
        <w:spacing w:after="0"/>
        <w:ind w:left="1080"/>
        <w:rPr>
          <w:rFonts w:ascii="Times New Roman" w:hAnsi="Times New Roman" w:cs="Times New Roman"/>
          <w:b/>
          <w:color w:val="0070C0"/>
        </w:rPr>
      </w:pPr>
    </w:p>
    <w:p w:rsidR="00D70CBE" w:rsidRDefault="00D70CBE" w:rsidP="00D70CBE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Valorisation des ateliers sociolinguistiques</w:t>
      </w:r>
    </w:p>
    <w:p w:rsidR="00D70CBE" w:rsidRPr="004E0CA1" w:rsidRDefault="00D70CBE" w:rsidP="00734909">
      <w:pPr>
        <w:pStyle w:val="Paragraphedeliste"/>
        <w:spacing w:after="0"/>
        <w:ind w:left="1080"/>
        <w:rPr>
          <w:rFonts w:ascii="Times New Roman" w:hAnsi="Times New Roman" w:cs="Times New Roman"/>
          <w:b/>
          <w:color w:val="0070C0"/>
          <w:sz w:val="12"/>
        </w:rPr>
      </w:pPr>
    </w:p>
    <w:p w:rsidR="00D70CBE" w:rsidRDefault="00D70CBE" w:rsidP="006548EC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ateliers sociolinguistiques de proximité pourront être valorisés </w:t>
      </w:r>
      <w:r w:rsidR="00195650">
        <w:rPr>
          <w:rFonts w:ascii="Times New Roman" w:hAnsi="Times New Roman" w:cs="Times New Roman"/>
        </w:rPr>
        <w:t>par un accompagnement spécifique qui sera proposé aux personnes, au-del</w:t>
      </w:r>
      <w:r w:rsidR="00862805">
        <w:rPr>
          <w:rFonts w:ascii="Times New Roman" w:hAnsi="Times New Roman" w:cs="Times New Roman"/>
        </w:rPr>
        <w:t>à de leur apprentissage linguistique</w:t>
      </w:r>
      <w:r w:rsidR="00195650">
        <w:rPr>
          <w:rFonts w:ascii="Times New Roman" w:hAnsi="Times New Roman" w:cs="Times New Roman"/>
        </w:rPr>
        <w:t xml:space="preserve">. Ces actions devront contribuer à lever les freins sociaux </w:t>
      </w:r>
      <w:r w:rsidR="00862805">
        <w:rPr>
          <w:rFonts w:ascii="Times New Roman" w:hAnsi="Times New Roman" w:cs="Times New Roman"/>
        </w:rPr>
        <w:t xml:space="preserve">s’opposant </w:t>
      </w:r>
      <w:r w:rsidR="00195650">
        <w:rPr>
          <w:rFonts w:ascii="Times New Roman" w:hAnsi="Times New Roman" w:cs="Times New Roman"/>
        </w:rPr>
        <w:t>aux apprentissages, à renforcer et à sécuriser les parcours, à faciliter l’accès aux droits et aux services de droit commun.</w:t>
      </w:r>
    </w:p>
    <w:p w:rsidR="00862805" w:rsidRDefault="00862805" w:rsidP="006548EC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862805" w:rsidRDefault="00862805" w:rsidP="006548EC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propositions suivantes seront plus particulièrement prises en compte :</w:t>
      </w:r>
    </w:p>
    <w:p w:rsidR="00195650" w:rsidRDefault="00195650" w:rsidP="006548EC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</w:p>
    <w:p w:rsidR="00195650" w:rsidRDefault="005619F9" w:rsidP="00D42123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95650">
        <w:rPr>
          <w:rFonts w:ascii="Times New Roman" w:hAnsi="Times New Roman" w:cs="Times New Roman"/>
        </w:rPr>
        <w:t>ccueil des enfants non scolarisés (0-3 ans) et travail sur la parentalité</w:t>
      </w:r>
      <w:r>
        <w:rPr>
          <w:rFonts w:ascii="Times New Roman" w:hAnsi="Times New Roman" w:cs="Times New Roman"/>
        </w:rPr>
        <w:t>.</w:t>
      </w:r>
    </w:p>
    <w:p w:rsidR="00D42123" w:rsidRPr="00D42123" w:rsidRDefault="00D42123" w:rsidP="00D42123">
      <w:pPr>
        <w:pStyle w:val="Paragraphedeliste"/>
        <w:spacing w:after="0"/>
        <w:jc w:val="both"/>
        <w:rPr>
          <w:rFonts w:ascii="Times New Roman" w:hAnsi="Times New Roman" w:cs="Times New Roman"/>
          <w:sz w:val="10"/>
        </w:rPr>
      </w:pPr>
    </w:p>
    <w:p w:rsidR="00D42123" w:rsidRDefault="00D42123" w:rsidP="00D42123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Accompagnement spécifique des parents d’élèves: compréhension du système scolaire français, appréhension des codes de l’Ecole, rôle attendu des parents…</w:t>
      </w:r>
    </w:p>
    <w:p w:rsidR="00FC49C7" w:rsidRDefault="00FC49C7" w:rsidP="00FC49C7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CA6885" w:rsidRDefault="00CA6885" w:rsidP="00CA6885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Actions d’information et d’orientation, accès aux services de droit commun : </w:t>
      </w:r>
      <w:r w:rsidR="00862805" w:rsidRPr="00CA6885">
        <w:rPr>
          <w:rFonts w:ascii="Times New Roman" w:hAnsi="Times New Roman" w:cs="Times New Roman"/>
        </w:rPr>
        <w:t>permanence d’accueil</w:t>
      </w:r>
      <w:r w:rsidR="00D42123" w:rsidRPr="00CA6885">
        <w:rPr>
          <w:rFonts w:ascii="Times New Roman" w:hAnsi="Times New Roman" w:cs="Times New Roman"/>
        </w:rPr>
        <w:t xml:space="preserve"> et d’orientation</w:t>
      </w:r>
      <w:r w:rsidR="00862805" w:rsidRPr="00CA6885">
        <w:rPr>
          <w:rFonts w:ascii="Times New Roman" w:hAnsi="Times New Roman" w:cs="Times New Roman"/>
        </w:rPr>
        <w:t xml:space="preserve">, écrivain public, </w:t>
      </w:r>
      <w:r>
        <w:rPr>
          <w:rFonts w:ascii="Times New Roman" w:hAnsi="Times New Roman" w:cs="Times New Roman"/>
        </w:rPr>
        <w:t xml:space="preserve">actions d’accompagnement favorisant l’accès aux </w:t>
      </w:r>
      <w:r w:rsidR="00862805" w:rsidRPr="00CA6885">
        <w:rPr>
          <w:rFonts w:ascii="Times New Roman" w:hAnsi="Times New Roman" w:cs="Times New Roman"/>
        </w:rPr>
        <w:t>services pu</w:t>
      </w:r>
      <w:r>
        <w:rPr>
          <w:rFonts w:ascii="Times New Roman" w:hAnsi="Times New Roman" w:cs="Times New Roman"/>
        </w:rPr>
        <w:t>blics, dont services en ligne.</w:t>
      </w:r>
    </w:p>
    <w:p w:rsidR="00CA6885" w:rsidRPr="00CA6885" w:rsidRDefault="00CA6885" w:rsidP="00CA6885">
      <w:pPr>
        <w:pStyle w:val="Paragraphedeliste"/>
        <w:spacing w:after="0"/>
        <w:jc w:val="both"/>
        <w:rPr>
          <w:rFonts w:ascii="Times New Roman" w:hAnsi="Times New Roman" w:cs="Times New Roman"/>
          <w:sz w:val="18"/>
        </w:rPr>
      </w:pPr>
    </w:p>
    <w:p w:rsidR="00D42123" w:rsidRDefault="00CA6885" w:rsidP="00CA6885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42123" w:rsidRPr="00CA6885">
        <w:rPr>
          <w:rFonts w:ascii="Times New Roman" w:hAnsi="Times New Roman" w:cs="Times New Roman"/>
        </w:rPr>
        <w:t xml:space="preserve">ccompagnement </w:t>
      </w:r>
      <w:r>
        <w:rPr>
          <w:rFonts w:ascii="Times New Roman" w:hAnsi="Times New Roman" w:cs="Times New Roman"/>
        </w:rPr>
        <w:t xml:space="preserve">social personnalisé : cet </w:t>
      </w:r>
      <w:r w:rsidR="00122A2C">
        <w:rPr>
          <w:rFonts w:ascii="Times New Roman" w:hAnsi="Times New Roman" w:cs="Times New Roman"/>
        </w:rPr>
        <w:t xml:space="preserve">aspect </w:t>
      </w:r>
      <w:r>
        <w:rPr>
          <w:rFonts w:ascii="Times New Roman" w:hAnsi="Times New Roman" w:cs="Times New Roman"/>
        </w:rPr>
        <w:t xml:space="preserve">du </w:t>
      </w:r>
      <w:r w:rsidR="00122A2C">
        <w:rPr>
          <w:rFonts w:ascii="Times New Roman" w:hAnsi="Times New Roman" w:cs="Times New Roman"/>
        </w:rPr>
        <w:t xml:space="preserve">suivi des apprenants </w:t>
      </w:r>
      <w:r>
        <w:rPr>
          <w:rFonts w:ascii="Times New Roman" w:hAnsi="Times New Roman" w:cs="Times New Roman"/>
        </w:rPr>
        <w:t>sera particulièrement valorisé compte tenu de</w:t>
      </w:r>
      <w:r w:rsidR="002B3565">
        <w:rPr>
          <w:rFonts w:ascii="Times New Roman" w:hAnsi="Times New Roman" w:cs="Times New Roman"/>
        </w:rPr>
        <w:t>s besoins et de la nécessité de</w:t>
      </w:r>
      <w:r>
        <w:rPr>
          <w:rFonts w:ascii="Times New Roman" w:hAnsi="Times New Roman" w:cs="Times New Roman"/>
        </w:rPr>
        <w:t xml:space="preserve"> sécuriser le parcours d’intégration de personnes fragilisées</w:t>
      </w:r>
      <w:r w:rsidR="002B3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(logement, mobilité, santé, </w:t>
      </w:r>
      <w:r w:rsidR="00122A2C">
        <w:rPr>
          <w:rFonts w:ascii="Times New Roman" w:hAnsi="Times New Roman" w:cs="Times New Roman"/>
        </w:rPr>
        <w:t>éducation des enfants et parentalité).</w:t>
      </w:r>
    </w:p>
    <w:p w:rsidR="00122A2C" w:rsidRPr="00CA6885" w:rsidRDefault="00F23934" w:rsidP="00122A2C">
      <w:pPr>
        <w:pStyle w:val="Paragraphedeliste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 accompagnement</w:t>
      </w:r>
      <w:r w:rsidR="00122A2C">
        <w:rPr>
          <w:rFonts w:ascii="Times New Roman" w:hAnsi="Times New Roman" w:cs="Times New Roman"/>
        </w:rPr>
        <w:t xml:space="preserve"> suppose l’engagement de partenariat</w:t>
      </w:r>
      <w:r>
        <w:rPr>
          <w:rFonts w:ascii="Times New Roman" w:hAnsi="Times New Roman" w:cs="Times New Roman"/>
        </w:rPr>
        <w:t>s</w:t>
      </w:r>
      <w:r w:rsidR="00122A2C">
        <w:rPr>
          <w:rFonts w:ascii="Times New Roman" w:hAnsi="Times New Roman" w:cs="Times New Roman"/>
        </w:rPr>
        <w:t xml:space="preserve"> locaux : PMI, centre</w:t>
      </w:r>
      <w:r>
        <w:rPr>
          <w:rFonts w:ascii="Times New Roman" w:hAnsi="Times New Roman" w:cs="Times New Roman"/>
        </w:rPr>
        <w:t>s</w:t>
      </w:r>
      <w:r w:rsidR="00122A2C">
        <w:rPr>
          <w:rFonts w:ascii="Times New Roman" w:hAnsi="Times New Roman" w:cs="Times New Roman"/>
        </w:rPr>
        <w:t xml:space="preserve"> de santé, </w:t>
      </w:r>
      <w:r>
        <w:rPr>
          <w:rFonts w:ascii="Times New Roman" w:hAnsi="Times New Roman" w:cs="Times New Roman"/>
        </w:rPr>
        <w:t xml:space="preserve">Ateliers Santé Ville, </w:t>
      </w:r>
      <w:r w:rsidR="00122A2C">
        <w:rPr>
          <w:rFonts w:ascii="Times New Roman" w:hAnsi="Times New Roman" w:cs="Times New Roman"/>
        </w:rPr>
        <w:t>CASVP, Services sociaux polyvalents…</w:t>
      </w:r>
    </w:p>
    <w:p w:rsidR="00D42123" w:rsidRPr="00FC49C7" w:rsidRDefault="00D42123" w:rsidP="00D42123">
      <w:pPr>
        <w:pStyle w:val="Paragraphedeliste"/>
        <w:spacing w:after="0"/>
        <w:jc w:val="both"/>
        <w:rPr>
          <w:rFonts w:ascii="Times New Roman" w:hAnsi="Times New Roman" w:cs="Times New Roman"/>
          <w:sz w:val="10"/>
        </w:rPr>
      </w:pPr>
    </w:p>
    <w:p w:rsidR="00862805" w:rsidRPr="00FC49C7" w:rsidRDefault="005619F9" w:rsidP="00FC49C7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 w:rsidRPr="00D42123">
        <w:rPr>
          <w:rFonts w:ascii="Times New Roman" w:hAnsi="Times New Roman" w:cs="Times New Roman"/>
        </w:rPr>
        <w:t>Accès à la culture</w:t>
      </w:r>
      <w:r w:rsidR="00FC49C7">
        <w:rPr>
          <w:rFonts w:ascii="Times New Roman" w:hAnsi="Times New Roman" w:cs="Times New Roman"/>
        </w:rPr>
        <w:t xml:space="preserve"> et</w:t>
      </w:r>
      <w:r w:rsidRPr="00D42123">
        <w:rPr>
          <w:rFonts w:ascii="Times New Roman" w:hAnsi="Times New Roman" w:cs="Times New Roman"/>
        </w:rPr>
        <w:t xml:space="preserve"> aux lieux de culture </w:t>
      </w:r>
      <w:r w:rsidR="00FC49C7">
        <w:rPr>
          <w:rFonts w:ascii="Times New Roman" w:hAnsi="Times New Roman" w:cs="Times New Roman"/>
        </w:rPr>
        <w:t>par l’utilisation des ressources locales et la mise en œuvre de</w:t>
      </w:r>
      <w:r w:rsidRPr="00D42123">
        <w:rPr>
          <w:rFonts w:ascii="Times New Roman" w:hAnsi="Times New Roman" w:cs="Times New Roman"/>
        </w:rPr>
        <w:t xml:space="preserve"> méthodologies adaptées : </w:t>
      </w:r>
      <w:r w:rsidRPr="00FC49C7">
        <w:rPr>
          <w:rFonts w:ascii="Times New Roman" w:hAnsi="Times New Roman" w:cs="Times New Roman"/>
        </w:rPr>
        <w:t>Relais du champ social, « </w:t>
      </w:r>
      <w:r w:rsidR="00FC49C7" w:rsidRPr="00FC49C7">
        <w:rPr>
          <w:rFonts w:ascii="Times New Roman" w:hAnsi="Times New Roman" w:cs="Times New Roman"/>
        </w:rPr>
        <w:t>A</w:t>
      </w:r>
      <w:r w:rsidRPr="00FC49C7">
        <w:rPr>
          <w:rFonts w:ascii="Times New Roman" w:hAnsi="Times New Roman" w:cs="Times New Roman"/>
        </w:rPr>
        <w:t>pprendre le français au musé</w:t>
      </w:r>
      <w:r w:rsidR="00FC49C7" w:rsidRPr="00FC49C7">
        <w:rPr>
          <w:rFonts w:ascii="Times New Roman" w:hAnsi="Times New Roman" w:cs="Times New Roman"/>
        </w:rPr>
        <w:t>e</w:t>
      </w:r>
      <w:r w:rsidRPr="00FC49C7">
        <w:rPr>
          <w:rFonts w:ascii="Times New Roman" w:hAnsi="Times New Roman" w:cs="Times New Roman"/>
        </w:rPr>
        <w:t xml:space="preserve"> </w:t>
      </w:r>
      <w:proofErr w:type="spellStart"/>
      <w:r w:rsidRPr="00FC49C7">
        <w:rPr>
          <w:rFonts w:ascii="Times New Roman" w:hAnsi="Times New Roman" w:cs="Times New Roman"/>
        </w:rPr>
        <w:t>Carnavalet</w:t>
      </w:r>
      <w:proofErr w:type="spellEnd"/>
      <w:r w:rsidRPr="00FC49C7">
        <w:rPr>
          <w:rFonts w:ascii="Times New Roman" w:hAnsi="Times New Roman" w:cs="Times New Roman"/>
        </w:rPr>
        <w:t> », « </w:t>
      </w:r>
      <w:r w:rsidR="00FC49C7" w:rsidRPr="00FC49C7">
        <w:rPr>
          <w:rFonts w:ascii="Times New Roman" w:hAnsi="Times New Roman" w:cs="Times New Roman"/>
        </w:rPr>
        <w:t>A</w:t>
      </w:r>
      <w:r w:rsidRPr="00FC49C7">
        <w:rPr>
          <w:rFonts w:ascii="Times New Roman" w:hAnsi="Times New Roman" w:cs="Times New Roman"/>
        </w:rPr>
        <w:t xml:space="preserve">pprendre le français à la BNF », </w:t>
      </w:r>
      <w:r w:rsidR="00FC49C7" w:rsidRPr="00FC49C7">
        <w:rPr>
          <w:rFonts w:ascii="Times New Roman" w:hAnsi="Times New Roman" w:cs="Times New Roman"/>
        </w:rPr>
        <w:t>« Parcourir</w:t>
      </w:r>
      <w:r w:rsidRPr="00FC49C7">
        <w:rPr>
          <w:rFonts w:ascii="Times New Roman" w:hAnsi="Times New Roman" w:cs="Times New Roman"/>
        </w:rPr>
        <w:t xml:space="preserve"> la Villette</w:t>
      </w:r>
      <w:r w:rsidR="00F0253C">
        <w:rPr>
          <w:rFonts w:ascii="Times New Roman" w:hAnsi="Times New Roman" w:cs="Times New Roman"/>
        </w:rPr>
        <w:t> »</w:t>
      </w:r>
      <w:r w:rsidRPr="00FC49C7">
        <w:rPr>
          <w:rFonts w:ascii="Times New Roman" w:hAnsi="Times New Roman" w:cs="Times New Roman"/>
        </w:rPr>
        <w:t> (dispositif mis à disposition des acteurs par la DDCS de Paris, en partenariat avec l’Association de Pré</w:t>
      </w:r>
      <w:r w:rsidR="00F0253C">
        <w:rPr>
          <w:rFonts w:ascii="Times New Roman" w:hAnsi="Times New Roman" w:cs="Times New Roman"/>
        </w:rPr>
        <w:t>vention du Site de la Villette).</w:t>
      </w:r>
    </w:p>
    <w:p w:rsidR="00FC49C7" w:rsidRPr="00FC49C7" w:rsidRDefault="00FC49C7" w:rsidP="00FC49C7">
      <w:pPr>
        <w:pStyle w:val="Paragraphedeliste"/>
        <w:spacing w:after="0"/>
        <w:jc w:val="both"/>
        <w:rPr>
          <w:rFonts w:ascii="Times New Roman" w:hAnsi="Times New Roman" w:cs="Times New Roman"/>
          <w:sz w:val="12"/>
        </w:rPr>
      </w:pPr>
    </w:p>
    <w:p w:rsidR="005619F9" w:rsidRDefault="00D42123" w:rsidP="00D42123">
      <w:pPr>
        <w:pStyle w:val="Paragraphedeliste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Accès à la formation et à l’emploi : les actions intégrant la dimension « français langue professionnelle » seront particulièrement attendues.</w:t>
      </w:r>
    </w:p>
    <w:p w:rsidR="00F70CFB" w:rsidRDefault="00F70CFB" w:rsidP="00F70CFB">
      <w:pPr>
        <w:pStyle w:val="Paragraphedeliste"/>
        <w:spacing w:after="0"/>
        <w:jc w:val="both"/>
        <w:rPr>
          <w:rFonts w:ascii="Times New Roman" w:hAnsi="Times New Roman" w:cs="Times New Roman"/>
        </w:rPr>
      </w:pPr>
    </w:p>
    <w:p w:rsidR="00F70CFB" w:rsidRPr="009B17EA" w:rsidRDefault="00F70CFB" w:rsidP="009B17EA">
      <w:pPr>
        <w:pStyle w:val="Paragraphedeliste"/>
        <w:numPr>
          <w:ilvl w:val="0"/>
          <w:numId w:val="16"/>
        </w:numPr>
        <w:shd w:val="clear" w:color="auto" w:fill="CCECFF"/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9B17EA">
        <w:rPr>
          <w:rFonts w:ascii="Times New Roman" w:hAnsi="Times New Roman" w:cs="Times New Roman"/>
          <w:b/>
          <w:color w:val="0070C0"/>
        </w:rPr>
        <w:t xml:space="preserve">Les propositions de formations linguistiques </w:t>
      </w:r>
      <w:r w:rsidR="009B17EA">
        <w:rPr>
          <w:rFonts w:ascii="Times New Roman" w:hAnsi="Times New Roman" w:cs="Times New Roman"/>
          <w:b/>
          <w:color w:val="0070C0"/>
        </w:rPr>
        <w:t xml:space="preserve">et </w:t>
      </w:r>
      <w:r w:rsidRPr="009B17EA">
        <w:rPr>
          <w:rFonts w:ascii="Times New Roman" w:hAnsi="Times New Roman" w:cs="Times New Roman"/>
          <w:b/>
          <w:color w:val="0070C0"/>
        </w:rPr>
        <w:t>à visée professionnelle en direction des réfugiés statutaires, arrivés récemment sur le territoire et ayant vocation à s’établir à Paris</w:t>
      </w:r>
      <w:r w:rsidR="009B17EA" w:rsidRPr="009B17EA">
        <w:rPr>
          <w:rFonts w:ascii="Times New Roman" w:hAnsi="Times New Roman" w:cs="Times New Roman"/>
          <w:b/>
          <w:color w:val="0070C0"/>
        </w:rPr>
        <w:t>,</w:t>
      </w:r>
      <w:r w:rsidRPr="009B17EA">
        <w:rPr>
          <w:rFonts w:ascii="Times New Roman" w:hAnsi="Times New Roman" w:cs="Times New Roman"/>
          <w:b/>
          <w:color w:val="0070C0"/>
        </w:rPr>
        <w:t xml:space="preserve"> seront priorisées. </w:t>
      </w:r>
      <w:r w:rsidR="001D1852" w:rsidRPr="009B17EA">
        <w:rPr>
          <w:rFonts w:ascii="Times New Roman" w:hAnsi="Times New Roman" w:cs="Times New Roman"/>
          <w:b/>
          <w:color w:val="0070C0"/>
        </w:rPr>
        <w:t xml:space="preserve">A partir d’un travail précis de positionnement, </w:t>
      </w:r>
      <w:r w:rsidR="00206609" w:rsidRPr="009B17EA">
        <w:rPr>
          <w:rFonts w:ascii="Times New Roman" w:hAnsi="Times New Roman" w:cs="Times New Roman"/>
          <w:b/>
          <w:color w:val="0070C0"/>
        </w:rPr>
        <w:t xml:space="preserve">il s’agira d’accompagner ces publics dans </w:t>
      </w:r>
      <w:r w:rsidRPr="009B17EA">
        <w:rPr>
          <w:rFonts w:ascii="Times New Roman" w:hAnsi="Times New Roman" w:cs="Times New Roman"/>
          <w:b/>
          <w:color w:val="0070C0"/>
        </w:rPr>
        <w:t xml:space="preserve">la construction </w:t>
      </w:r>
      <w:r w:rsidR="00206609" w:rsidRPr="009B17EA">
        <w:rPr>
          <w:rFonts w:ascii="Times New Roman" w:hAnsi="Times New Roman" w:cs="Times New Roman"/>
          <w:b/>
          <w:color w:val="0070C0"/>
        </w:rPr>
        <w:t xml:space="preserve">d’un </w:t>
      </w:r>
      <w:r w:rsidRPr="009B17EA">
        <w:rPr>
          <w:rFonts w:ascii="Times New Roman" w:hAnsi="Times New Roman" w:cs="Times New Roman"/>
          <w:b/>
          <w:color w:val="0070C0"/>
        </w:rPr>
        <w:t>projet</w:t>
      </w:r>
      <w:r w:rsidR="001D1852" w:rsidRPr="009B17EA">
        <w:rPr>
          <w:rFonts w:ascii="Times New Roman" w:hAnsi="Times New Roman" w:cs="Times New Roman"/>
          <w:b/>
          <w:color w:val="0070C0"/>
        </w:rPr>
        <w:t xml:space="preserve"> de vie</w:t>
      </w:r>
      <w:r w:rsidR="003775E5" w:rsidRPr="009B17EA">
        <w:rPr>
          <w:rFonts w:ascii="Times New Roman" w:hAnsi="Times New Roman" w:cs="Times New Roman"/>
          <w:b/>
          <w:color w:val="0070C0"/>
        </w:rPr>
        <w:t xml:space="preserve"> dans la société d’accueil</w:t>
      </w:r>
      <w:r w:rsidR="00921C7C">
        <w:rPr>
          <w:rFonts w:ascii="Times New Roman" w:hAnsi="Times New Roman" w:cs="Times New Roman"/>
          <w:b/>
          <w:color w:val="0070C0"/>
        </w:rPr>
        <w:t>, de leur donner les moyens d’</w:t>
      </w:r>
      <w:bookmarkStart w:id="0" w:name="_GoBack"/>
      <w:bookmarkEnd w:id="0"/>
      <w:r w:rsidR="00921C7C">
        <w:rPr>
          <w:rFonts w:ascii="Times New Roman" w:hAnsi="Times New Roman" w:cs="Times New Roman"/>
          <w:b/>
          <w:color w:val="0070C0"/>
        </w:rPr>
        <w:t>une projection réaliste et gratifiante dans un avenir partagé.</w:t>
      </w:r>
    </w:p>
    <w:p w:rsidR="00F70CFB" w:rsidRPr="00F70CFB" w:rsidRDefault="00F70CFB" w:rsidP="00F70CFB">
      <w:pPr>
        <w:spacing w:after="0"/>
        <w:jc w:val="both"/>
        <w:rPr>
          <w:rFonts w:ascii="Times New Roman" w:hAnsi="Times New Roman" w:cs="Times New Roman"/>
        </w:rPr>
      </w:pPr>
    </w:p>
    <w:p w:rsidR="008C65FE" w:rsidRDefault="008C65FE" w:rsidP="000C0D01">
      <w:pPr>
        <w:pStyle w:val="Paragraphedeliste"/>
        <w:ind w:left="0"/>
        <w:rPr>
          <w:rFonts w:ascii="Times New Roman" w:hAnsi="Times New Roman" w:cs="Times New Roman"/>
        </w:rPr>
      </w:pPr>
    </w:p>
    <w:p w:rsidR="000F7931" w:rsidRDefault="006548EC" w:rsidP="003C197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Evaluation de</w:t>
      </w:r>
      <w:r w:rsidR="00E4047B">
        <w:rPr>
          <w:rFonts w:ascii="Times New Roman" w:hAnsi="Times New Roman" w:cs="Times New Roman"/>
          <w:b/>
          <w:color w:val="0070C0"/>
        </w:rPr>
        <w:t>s</w:t>
      </w:r>
      <w:r>
        <w:rPr>
          <w:rFonts w:ascii="Times New Roman" w:hAnsi="Times New Roman" w:cs="Times New Roman"/>
          <w:b/>
          <w:color w:val="0070C0"/>
        </w:rPr>
        <w:t xml:space="preserve"> actions</w:t>
      </w:r>
    </w:p>
    <w:p w:rsidR="00DF5D53" w:rsidRPr="00DF5D53" w:rsidRDefault="00DF5D53" w:rsidP="00AF67DF">
      <w:pPr>
        <w:pStyle w:val="Paragraphedeliste"/>
        <w:ind w:left="0"/>
        <w:jc w:val="both"/>
        <w:rPr>
          <w:rFonts w:ascii="Times New Roman" w:hAnsi="Times New Roman" w:cs="Times New Roman"/>
          <w:sz w:val="10"/>
        </w:rPr>
      </w:pPr>
    </w:p>
    <w:p w:rsidR="00E4047B" w:rsidRDefault="008A0BA7" w:rsidP="00B172C0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porteurs </w:t>
      </w:r>
      <w:r w:rsidR="00DF5D53">
        <w:rPr>
          <w:rFonts w:ascii="Times New Roman" w:hAnsi="Times New Roman" w:cs="Times New Roman"/>
        </w:rPr>
        <w:t>s’</w:t>
      </w:r>
      <w:r>
        <w:rPr>
          <w:rFonts w:ascii="Times New Roman" w:hAnsi="Times New Roman" w:cs="Times New Roman"/>
        </w:rPr>
        <w:t>engagent</w:t>
      </w:r>
      <w:r w:rsidR="00DF5D53">
        <w:rPr>
          <w:rFonts w:ascii="Times New Roman" w:hAnsi="Times New Roman" w:cs="Times New Roman"/>
        </w:rPr>
        <w:t xml:space="preserve"> à compléter les différents indicateurs chiffrés</w:t>
      </w:r>
      <w:r>
        <w:rPr>
          <w:rFonts w:ascii="Times New Roman" w:hAnsi="Times New Roman" w:cs="Times New Roman"/>
        </w:rPr>
        <w:t xml:space="preserve"> figurant sur la grille d’évaluation jointe en annexe </w:t>
      </w:r>
      <w:r w:rsidR="00E4047B">
        <w:rPr>
          <w:rFonts w:ascii="Times New Roman" w:hAnsi="Times New Roman" w:cs="Times New Roman"/>
        </w:rPr>
        <w:t>(annexe III).</w:t>
      </w:r>
    </w:p>
    <w:p w:rsidR="008A0BA7" w:rsidRDefault="00E4047B" w:rsidP="00B172C0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172C0">
        <w:rPr>
          <w:rFonts w:ascii="Times New Roman" w:hAnsi="Times New Roman" w:cs="Times New Roman"/>
        </w:rPr>
        <w:t xml:space="preserve">es </w:t>
      </w:r>
      <w:r w:rsidR="008A0BA7">
        <w:rPr>
          <w:rFonts w:ascii="Times New Roman" w:hAnsi="Times New Roman" w:cs="Times New Roman"/>
        </w:rPr>
        <w:t xml:space="preserve">chiffres prévisionnels pour l’année 2017 </w:t>
      </w:r>
      <w:r w:rsidR="00B172C0">
        <w:rPr>
          <w:rFonts w:ascii="Times New Roman" w:hAnsi="Times New Roman" w:cs="Times New Roman"/>
        </w:rPr>
        <w:t xml:space="preserve">seront </w:t>
      </w:r>
      <w:r w:rsidR="008A0BA7">
        <w:rPr>
          <w:rFonts w:ascii="Times New Roman" w:hAnsi="Times New Roman" w:cs="Times New Roman"/>
        </w:rPr>
        <w:t xml:space="preserve">joints </w:t>
      </w:r>
      <w:r>
        <w:rPr>
          <w:rFonts w:ascii="Times New Roman" w:hAnsi="Times New Roman" w:cs="Times New Roman"/>
        </w:rPr>
        <w:t xml:space="preserve">au </w:t>
      </w:r>
      <w:r w:rsidR="008A0BA7">
        <w:rPr>
          <w:rFonts w:ascii="Times New Roman" w:hAnsi="Times New Roman" w:cs="Times New Roman"/>
        </w:rPr>
        <w:t>dé</w:t>
      </w:r>
      <w:r w:rsidR="00B172C0">
        <w:rPr>
          <w:rFonts w:ascii="Times New Roman" w:hAnsi="Times New Roman" w:cs="Times New Roman"/>
        </w:rPr>
        <w:t>pô</w:t>
      </w:r>
      <w:r>
        <w:rPr>
          <w:rFonts w:ascii="Times New Roman" w:hAnsi="Times New Roman" w:cs="Times New Roman"/>
        </w:rPr>
        <w:t>t de la demande de subvention. L</w:t>
      </w:r>
      <w:r w:rsidR="00B172C0">
        <w:rPr>
          <w:rFonts w:ascii="Times New Roman" w:hAnsi="Times New Roman" w:cs="Times New Roman"/>
        </w:rPr>
        <w:t xml:space="preserve">es chiffres du réalisé </w:t>
      </w:r>
      <w:r>
        <w:rPr>
          <w:rFonts w:ascii="Times New Roman" w:hAnsi="Times New Roman" w:cs="Times New Roman"/>
        </w:rPr>
        <w:t xml:space="preserve">2017 </w:t>
      </w:r>
      <w:r w:rsidR="00B172C0">
        <w:rPr>
          <w:rFonts w:ascii="Times New Roman" w:hAnsi="Times New Roman" w:cs="Times New Roman"/>
        </w:rPr>
        <w:t>seront demandés à l’issue de la session.</w:t>
      </w:r>
    </w:p>
    <w:p w:rsidR="00B172C0" w:rsidRPr="00721569" w:rsidRDefault="00B172C0" w:rsidP="00EA34DD">
      <w:pPr>
        <w:pStyle w:val="Paragraphedeliste"/>
        <w:ind w:left="0"/>
        <w:rPr>
          <w:rFonts w:ascii="Times New Roman" w:hAnsi="Times New Roman" w:cs="Times New Roman"/>
          <w:sz w:val="10"/>
        </w:rPr>
      </w:pPr>
    </w:p>
    <w:p w:rsidR="00EA34DD" w:rsidRDefault="00DF5D53" w:rsidP="00EA34DD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services de l’Etat peuvent par ailleurs réaliser des contrôles in situ afin de constater la conformité d’une action en cours.</w:t>
      </w:r>
    </w:p>
    <w:p w:rsidR="007C67C4" w:rsidRPr="00E4047B" w:rsidRDefault="007C67C4" w:rsidP="00EA34DD">
      <w:pPr>
        <w:pStyle w:val="Paragraphedeliste"/>
        <w:ind w:left="0"/>
        <w:rPr>
          <w:rFonts w:ascii="Times New Roman" w:hAnsi="Times New Roman" w:cs="Times New Roman"/>
          <w:sz w:val="10"/>
        </w:rPr>
      </w:pPr>
    </w:p>
    <w:p w:rsidR="00E4047B" w:rsidRPr="009B17EA" w:rsidRDefault="00E4047B" w:rsidP="009B17EA">
      <w:pPr>
        <w:pStyle w:val="Paragraphedeliste"/>
        <w:ind w:left="0"/>
        <w:jc w:val="both"/>
        <w:rPr>
          <w:rFonts w:ascii="Times New Roman" w:hAnsi="Times New Roman" w:cs="Times New Roman"/>
        </w:rPr>
      </w:pPr>
      <w:r w:rsidRPr="009B17EA">
        <w:rPr>
          <w:rFonts w:ascii="Times New Roman" w:hAnsi="Times New Roman" w:cs="Times New Roman"/>
        </w:rPr>
        <w:t xml:space="preserve">Les actions devront être conduites sur l’année civile 2017. Dans le cas du renouvellement d’un projet financée en 2016, l’engagement de la subvention 2017 sera soumis à l’envoi du bilan de l’action réalisée et des indicateurs y afférents (formulaire </w:t>
      </w:r>
      <w:proofErr w:type="spellStart"/>
      <w:r w:rsidRPr="009B17EA">
        <w:rPr>
          <w:rFonts w:ascii="Times New Roman" w:hAnsi="Times New Roman" w:cs="Times New Roman"/>
        </w:rPr>
        <w:t>Cerfa</w:t>
      </w:r>
      <w:proofErr w:type="spellEnd"/>
      <w:r w:rsidRPr="009B17EA">
        <w:rPr>
          <w:rFonts w:ascii="Times New Roman" w:hAnsi="Times New Roman" w:cs="Times New Roman"/>
        </w:rPr>
        <w:t xml:space="preserve"> 15059.01 et  grille d’évaluation).</w:t>
      </w:r>
    </w:p>
    <w:p w:rsidR="00E4047B" w:rsidRDefault="00E4047B" w:rsidP="00EA34DD">
      <w:pPr>
        <w:pStyle w:val="Paragraphedeliste"/>
        <w:ind w:left="0"/>
        <w:rPr>
          <w:rFonts w:ascii="Times New Roman" w:hAnsi="Times New Roman" w:cs="Times New Roman"/>
        </w:rPr>
      </w:pPr>
    </w:p>
    <w:p w:rsidR="004E0CA1" w:rsidRDefault="004E0CA1" w:rsidP="00EA34DD">
      <w:pPr>
        <w:pStyle w:val="Paragraphedeliste"/>
        <w:ind w:left="0"/>
        <w:rPr>
          <w:rFonts w:ascii="Times New Roman" w:hAnsi="Times New Roman" w:cs="Times New Roman"/>
        </w:rPr>
      </w:pPr>
    </w:p>
    <w:p w:rsidR="00C41C84" w:rsidRDefault="00C41C84" w:rsidP="003C1977"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  <w:b/>
          <w:color w:val="0070C0"/>
        </w:rPr>
      </w:pPr>
      <w:r w:rsidRPr="00E4047B">
        <w:rPr>
          <w:rFonts w:ascii="Times New Roman" w:hAnsi="Times New Roman" w:cs="Times New Roman"/>
          <w:b/>
          <w:color w:val="0070C0"/>
        </w:rPr>
        <w:t>Co-financements</w:t>
      </w:r>
    </w:p>
    <w:p w:rsidR="009203CC" w:rsidRPr="009203CC" w:rsidRDefault="009203CC" w:rsidP="009203CC">
      <w:pPr>
        <w:pStyle w:val="Paragraphedeliste"/>
        <w:ind w:left="1080"/>
        <w:rPr>
          <w:rFonts w:ascii="Times New Roman" w:hAnsi="Times New Roman" w:cs="Times New Roman"/>
          <w:b/>
          <w:color w:val="0070C0"/>
          <w:sz w:val="10"/>
        </w:rPr>
      </w:pPr>
    </w:p>
    <w:p w:rsidR="00B172C0" w:rsidRDefault="00C41C84" w:rsidP="00AF67DF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F70D8E">
        <w:rPr>
          <w:rFonts w:ascii="Times New Roman" w:hAnsi="Times New Roman" w:cs="Times New Roman"/>
        </w:rPr>
        <w:t xml:space="preserve">e co-financement des projets est un critère décisif  pour l’accès au programme 104. </w:t>
      </w:r>
    </w:p>
    <w:p w:rsidR="00C41C84" w:rsidRDefault="00606E89" w:rsidP="00AF67DF">
      <w:pPr>
        <w:pStyle w:val="Paragraphedeliste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 porteurs doivent donc s’inscrire dans cette démarche auprès des divers financeurs</w:t>
      </w:r>
      <w:r w:rsidR="00AF67DF">
        <w:rPr>
          <w:rFonts w:ascii="Times New Roman" w:hAnsi="Times New Roman" w:cs="Times New Roman"/>
        </w:rPr>
        <w:t xml:space="preserve"> publics et privés. La part des </w:t>
      </w:r>
      <w:r>
        <w:rPr>
          <w:rFonts w:ascii="Times New Roman" w:hAnsi="Times New Roman" w:cs="Times New Roman"/>
        </w:rPr>
        <w:t>co-financement</w:t>
      </w:r>
      <w:r w:rsidR="00B172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doit </w:t>
      </w:r>
      <w:r w:rsidR="00C41C84">
        <w:rPr>
          <w:rFonts w:ascii="Times New Roman" w:hAnsi="Times New Roman" w:cs="Times New Roman"/>
        </w:rPr>
        <w:t xml:space="preserve">au moins </w:t>
      </w:r>
      <w:r>
        <w:rPr>
          <w:rFonts w:ascii="Times New Roman" w:hAnsi="Times New Roman" w:cs="Times New Roman"/>
        </w:rPr>
        <w:t>être égale</w:t>
      </w:r>
      <w:r w:rsidR="00C41C84">
        <w:rPr>
          <w:rFonts w:ascii="Times New Roman" w:hAnsi="Times New Roman" w:cs="Times New Roman"/>
        </w:rPr>
        <w:t xml:space="preserve"> à 50% du total</w:t>
      </w:r>
      <w:r w:rsidR="00DF5D53">
        <w:rPr>
          <w:rFonts w:ascii="Times New Roman" w:hAnsi="Times New Roman" w:cs="Times New Roman"/>
        </w:rPr>
        <w:t xml:space="preserve"> des subventions d’exploitation inscrites au budget prévisionnel de l’action.</w:t>
      </w:r>
    </w:p>
    <w:p w:rsidR="002F4AFF" w:rsidRDefault="00606E89" w:rsidP="00613B59">
      <w:pPr>
        <w:pStyle w:val="Paragraphedeliste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AF67DF">
        <w:rPr>
          <w:rFonts w:ascii="Times New Roman" w:hAnsi="Times New Roman" w:cs="Times New Roman"/>
        </w:rPr>
        <w:t>e F</w:t>
      </w:r>
      <w:r w:rsidR="005E0D62">
        <w:rPr>
          <w:rFonts w:ascii="Times New Roman" w:hAnsi="Times New Roman" w:cs="Times New Roman"/>
        </w:rPr>
        <w:t>onds asile, migration, intégration (</w:t>
      </w:r>
      <w:hyperlink r:id="rId12" w:history="1">
        <w:r w:rsidR="005E0D62" w:rsidRPr="00606E89">
          <w:rPr>
            <w:rStyle w:val="Lienhypertexte"/>
            <w:rFonts w:ascii="Times New Roman" w:hAnsi="Times New Roman" w:cs="Times New Roman"/>
          </w:rPr>
          <w:t>FAMI 2014/2020</w:t>
        </w:r>
      </w:hyperlink>
      <w:r w:rsidR="005E0D62">
        <w:rPr>
          <w:rFonts w:ascii="Times New Roman" w:hAnsi="Times New Roman" w:cs="Times New Roman"/>
        </w:rPr>
        <w:t>), géré par la Direction générale des étrangers en France (DGEF</w:t>
      </w:r>
      <w:r w:rsidR="009B17EA">
        <w:rPr>
          <w:rFonts w:ascii="Times New Roman" w:hAnsi="Times New Roman" w:cs="Times New Roman"/>
        </w:rPr>
        <w:t>) peut également être sollicité</w:t>
      </w:r>
    </w:p>
    <w:p w:rsidR="002F4AFF" w:rsidRDefault="002F4AFF" w:rsidP="00613B59">
      <w:pPr>
        <w:pStyle w:val="Paragraphedeliste"/>
        <w:ind w:left="0"/>
        <w:rPr>
          <w:rFonts w:ascii="Times New Roman" w:hAnsi="Times New Roman" w:cs="Times New Roman"/>
        </w:rPr>
      </w:pPr>
    </w:p>
    <w:p w:rsidR="002F4AFF" w:rsidRDefault="002F4AFF" w:rsidP="00613B59">
      <w:pPr>
        <w:pStyle w:val="Paragraphedeliste"/>
        <w:ind w:left="0"/>
        <w:rPr>
          <w:rFonts w:ascii="Times New Roman" w:hAnsi="Times New Roman" w:cs="Times New Roman"/>
        </w:rPr>
      </w:pPr>
    </w:p>
    <w:p w:rsidR="00177AFF" w:rsidRPr="00721569" w:rsidRDefault="00177AFF" w:rsidP="003C1977">
      <w:pPr>
        <w:pStyle w:val="Paragraphedeliste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0070C0"/>
        </w:rPr>
      </w:pPr>
      <w:r w:rsidRPr="00721569">
        <w:rPr>
          <w:rFonts w:ascii="Times New Roman" w:hAnsi="Times New Roman" w:cs="Times New Roman"/>
          <w:b/>
          <w:color w:val="0070C0"/>
        </w:rPr>
        <w:t>Dépôt des demandes de subvention</w:t>
      </w:r>
    </w:p>
    <w:p w:rsidR="00FD1D0B" w:rsidRDefault="00FD1D0B" w:rsidP="00FD1D0B">
      <w:pPr>
        <w:pStyle w:val="Paragraphedeliste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8D0F42" w:rsidRPr="008D0F42" w:rsidRDefault="008D0F42" w:rsidP="008D0F42">
      <w:pPr>
        <w:pStyle w:val="Paragraphedeliste"/>
        <w:spacing w:after="0"/>
        <w:ind w:left="1080"/>
        <w:rPr>
          <w:rFonts w:ascii="Times New Roman" w:hAnsi="Times New Roman" w:cs="Times New Roman"/>
          <w:sz w:val="10"/>
        </w:rPr>
      </w:pPr>
    </w:p>
    <w:p w:rsidR="00177AFF" w:rsidRDefault="00177AFF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dossiers </w:t>
      </w:r>
      <w:proofErr w:type="spellStart"/>
      <w:r w:rsidRPr="00FD1D0B">
        <w:rPr>
          <w:rFonts w:ascii="Times New Roman" w:hAnsi="Times New Roman" w:cs="Times New Roman"/>
          <w:i/>
        </w:rPr>
        <w:t>Cerfa</w:t>
      </w:r>
      <w:proofErr w:type="spellEnd"/>
      <w:r w:rsidRPr="00FD1D0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de demande de subvention </w:t>
      </w:r>
      <w:r w:rsidR="00FD1D0B">
        <w:rPr>
          <w:rFonts w:ascii="Times New Roman" w:hAnsi="Times New Roman" w:cs="Times New Roman"/>
        </w:rPr>
        <w:t xml:space="preserve">ainsi que les pièces à joindre </w:t>
      </w:r>
      <w:r>
        <w:rPr>
          <w:rFonts w:ascii="Times New Roman" w:hAnsi="Times New Roman" w:cs="Times New Roman"/>
        </w:rPr>
        <w:t>doivent être adr</w:t>
      </w:r>
      <w:r w:rsidR="008D0F4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ssés par mail à la DDCS de Paris à l’adresse suivante</w:t>
      </w:r>
      <w:r w:rsidR="008D0F42">
        <w:rPr>
          <w:rFonts w:ascii="Times New Roman" w:hAnsi="Times New Roman" w:cs="Times New Roman"/>
        </w:rPr>
        <w:t> :</w:t>
      </w:r>
    </w:p>
    <w:p w:rsidR="008D0F42" w:rsidRDefault="008D0F42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</w:p>
    <w:p w:rsidR="008D0F42" w:rsidRDefault="00921C7C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  <w:color w:val="0000FF"/>
        </w:rPr>
      </w:pPr>
      <w:hyperlink r:id="rId13" w:history="1">
        <w:r w:rsidR="004E0CA1" w:rsidRPr="00930170">
          <w:rPr>
            <w:rStyle w:val="Lienhypertexte"/>
            <w:rFonts w:ascii="Times New Roman" w:hAnsi="Times New Roman" w:cs="Times New Roman"/>
          </w:rPr>
          <w:t>ddcs-mission-politique-ville-integration@paris.gouv.fr</w:t>
        </w:r>
      </w:hyperlink>
    </w:p>
    <w:p w:rsidR="008D0F42" w:rsidRDefault="008D0F42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</w:p>
    <w:p w:rsidR="008D0F42" w:rsidRPr="005C0C78" w:rsidRDefault="008D0F42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  <w:b/>
          <w:color w:val="0070C0"/>
          <w:u w:val="single"/>
        </w:rPr>
      </w:pPr>
      <w:proofErr w:type="gramStart"/>
      <w:r w:rsidRPr="005C0C78">
        <w:rPr>
          <w:rFonts w:ascii="Times New Roman" w:hAnsi="Times New Roman" w:cs="Times New Roman"/>
          <w:b/>
          <w:color w:val="0070C0"/>
          <w:u w:val="single"/>
        </w:rPr>
        <w:t>avant</w:t>
      </w:r>
      <w:proofErr w:type="gramEnd"/>
      <w:r w:rsidRPr="005C0C78">
        <w:rPr>
          <w:rFonts w:ascii="Times New Roman" w:hAnsi="Times New Roman" w:cs="Times New Roman"/>
          <w:b/>
          <w:color w:val="0070C0"/>
          <w:u w:val="single"/>
        </w:rPr>
        <w:t xml:space="preserve"> le</w:t>
      </w:r>
      <w:r w:rsidR="005C0C78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AC7F23">
        <w:rPr>
          <w:rFonts w:ascii="Times New Roman" w:hAnsi="Times New Roman" w:cs="Times New Roman"/>
          <w:b/>
          <w:color w:val="0070C0"/>
          <w:u w:val="single"/>
        </w:rPr>
        <w:t>23 janvier</w:t>
      </w:r>
      <w:r w:rsidR="00B441AD">
        <w:rPr>
          <w:rFonts w:ascii="Times New Roman" w:hAnsi="Times New Roman" w:cs="Times New Roman"/>
          <w:b/>
          <w:color w:val="0070C0"/>
          <w:u w:val="single"/>
        </w:rPr>
        <w:t xml:space="preserve"> </w:t>
      </w:r>
      <w:r w:rsidR="005C0C78">
        <w:rPr>
          <w:rFonts w:ascii="Times New Roman" w:hAnsi="Times New Roman" w:cs="Times New Roman"/>
          <w:b/>
          <w:color w:val="0070C0"/>
          <w:u w:val="single"/>
        </w:rPr>
        <w:t>2017</w:t>
      </w:r>
      <w:r w:rsidRPr="005C0C78">
        <w:rPr>
          <w:rFonts w:ascii="Times New Roman" w:hAnsi="Times New Roman" w:cs="Times New Roman"/>
          <w:b/>
          <w:color w:val="0070C0"/>
          <w:u w:val="single"/>
        </w:rPr>
        <w:t>, date limite des dépôts</w:t>
      </w:r>
    </w:p>
    <w:p w:rsidR="00FD1D0B" w:rsidRDefault="00FD1D0B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D0F42" w:rsidRDefault="008D0F42" w:rsidP="004E0CA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jc w:val="center"/>
        <w:rPr>
          <w:rFonts w:ascii="Times New Roman" w:hAnsi="Times New Roman" w:cs="Times New Roman"/>
        </w:rPr>
      </w:pPr>
      <w:r w:rsidRPr="00FD1D0B">
        <w:rPr>
          <w:rFonts w:ascii="Times New Roman" w:hAnsi="Times New Roman" w:cs="Times New Roman"/>
        </w:rPr>
        <w:t>Les dossiers doivent être signé</w:t>
      </w:r>
      <w:r w:rsidR="00FD1D0B">
        <w:rPr>
          <w:rFonts w:ascii="Times New Roman" w:hAnsi="Times New Roman" w:cs="Times New Roman"/>
        </w:rPr>
        <w:t>s</w:t>
      </w:r>
      <w:r w:rsidRPr="00FD1D0B">
        <w:rPr>
          <w:rFonts w:ascii="Times New Roman" w:hAnsi="Times New Roman" w:cs="Times New Roman"/>
        </w:rPr>
        <w:t xml:space="preserve"> par le r</w:t>
      </w:r>
      <w:r w:rsidR="00FD1D0B" w:rsidRPr="00FD1D0B">
        <w:rPr>
          <w:rFonts w:ascii="Times New Roman" w:hAnsi="Times New Roman" w:cs="Times New Roman"/>
        </w:rPr>
        <w:t>eprésentant légal de la structur</w:t>
      </w:r>
      <w:r w:rsidRPr="00FD1D0B">
        <w:rPr>
          <w:rFonts w:ascii="Times New Roman" w:hAnsi="Times New Roman" w:cs="Times New Roman"/>
        </w:rPr>
        <w:t>e ou par son délégataire</w:t>
      </w:r>
    </w:p>
    <w:p w:rsidR="00FD1D0B" w:rsidRDefault="00FD1D0B" w:rsidP="008D0F42">
      <w:pPr>
        <w:spacing w:after="0"/>
        <w:rPr>
          <w:rFonts w:ascii="Times New Roman" w:hAnsi="Times New Roman" w:cs="Times New Roman"/>
        </w:rPr>
      </w:pPr>
    </w:p>
    <w:p w:rsidR="00FD1D0B" w:rsidRPr="00E4047B" w:rsidRDefault="00FD1D0B" w:rsidP="00FD1D0B">
      <w:pPr>
        <w:pStyle w:val="Paragraphedeliste"/>
        <w:spacing w:after="0"/>
        <w:rPr>
          <w:rFonts w:ascii="Times New Roman" w:hAnsi="Times New Roman" w:cs="Times New Roman"/>
          <w:sz w:val="10"/>
        </w:rPr>
      </w:pPr>
    </w:p>
    <w:p w:rsidR="00FD1D0B" w:rsidRDefault="00FD1D0B" w:rsidP="00FD1D0B">
      <w:pPr>
        <w:pStyle w:val="Paragraphedeliste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tous les cas, doivent être joints au dossier </w:t>
      </w:r>
      <w:proofErr w:type="spellStart"/>
      <w:r w:rsidR="00E4047B" w:rsidRPr="00E4047B">
        <w:rPr>
          <w:rFonts w:ascii="Times New Roman" w:hAnsi="Times New Roman" w:cs="Times New Roman"/>
          <w:i/>
        </w:rPr>
        <w:t>Cerfa</w:t>
      </w:r>
      <w:proofErr w:type="spellEnd"/>
      <w:r w:rsidR="00E40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FD1D0B" w:rsidRPr="00E4047B" w:rsidRDefault="00FD1D0B" w:rsidP="00FD1D0B">
      <w:pPr>
        <w:pStyle w:val="Paragraphedeliste"/>
        <w:spacing w:after="0"/>
        <w:ind w:left="0"/>
        <w:jc w:val="both"/>
        <w:rPr>
          <w:rFonts w:ascii="Times New Roman" w:hAnsi="Times New Roman" w:cs="Times New Roman"/>
          <w:sz w:val="10"/>
        </w:rPr>
      </w:pPr>
    </w:p>
    <w:p w:rsidR="00E4047B" w:rsidRDefault="00E4047B" w:rsidP="00613B59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liste des numéros de CAI/CIR des bénéficiaires de l’action</w:t>
      </w:r>
    </w:p>
    <w:p w:rsidR="00FD1D0B" w:rsidRDefault="00FD1D0B" w:rsidP="00613B59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grille des indicateurs d’évaluation</w:t>
      </w:r>
      <w:r w:rsidR="009130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les indicateurs concernant le </w:t>
      </w:r>
      <w:r w:rsidRPr="00D515F6">
        <w:rPr>
          <w:rFonts w:ascii="Times New Roman" w:hAnsi="Times New Roman" w:cs="Times New Roman"/>
          <w:u w:val="single"/>
        </w:rPr>
        <w:t>prévisionnel</w:t>
      </w:r>
      <w:r>
        <w:rPr>
          <w:rFonts w:ascii="Times New Roman" w:hAnsi="Times New Roman" w:cs="Times New Roman"/>
        </w:rPr>
        <w:t xml:space="preserve"> de l’année 2017 doivent être renseignés</w:t>
      </w:r>
    </w:p>
    <w:p w:rsidR="00FD1D0B" w:rsidRDefault="00FD1D0B" w:rsidP="00613B59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dernier avis de situation SIRET</w:t>
      </w:r>
    </w:p>
    <w:p w:rsidR="00FD1D0B" w:rsidRDefault="00FD1D0B" w:rsidP="00613B59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RIB portant une adresse correspondant à celle de l’avis de situation SIRET</w:t>
      </w:r>
    </w:p>
    <w:p w:rsidR="00FD1D0B" w:rsidRPr="00913043" w:rsidRDefault="00FD1D0B" w:rsidP="00613B59">
      <w:pPr>
        <w:pStyle w:val="Paragraphedeliste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le dossier n’est pas signé par le représentant légal de l’association, le pouvoir donné par ce dernier au signataire</w:t>
      </w:r>
    </w:p>
    <w:sectPr w:rsidR="00FD1D0B" w:rsidRPr="009130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D13" w:rsidRDefault="00A24D13" w:rsidP="00A24D13">
      <w:pPr>
        <w:spacing w:after="0" w:line="240" w:lineRule="auto"/>
      </w:pPr>
      <w:r>
        <w:separator/>
      </w:r>
    </w:p>
  </w:endnote>
  <w:endnote w:type="continuationSeparator" w:id="0">
    <w:p w:rsidR="00A24D13" w:rsidRDefault="00A24D13" w:rsidP="00A2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0" w:rsidRDefault="002C15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82007"/>
      <w:docPartObj>
        <w:docPartGallery w:val="Page Numbers (Bottom of Page)"/>
        <w:docPartUnique/>
      </w:docPartObj>
    </w:sdtPr>
    <w:sdtEndPr/>
    <w:sdtContent>
      <w:p w:rsidR="00A24D13" w:rsidRDefault="00A24D1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C7C">
          <w:rPr>
            <w:noProof/>
          </w:rPr>
          <w:t>3</w:t>
        </w:r>
        <w:r>
          <w:fldChar w:fldCharType="end"/>
        </w:r>
      </w:p>
    </w:sdtContent>
  </w:sdt>
  <w:p w:rsidR="00A24D13" w:rsidRDefault="00A24D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0" w:rsidRDefault="002C15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D13" w:rsidRDefault="00A24D13" w:rsidP="00A24D13">
      <w:pPr>
        <w:spacing w:after="0" w:line="240" w:lineRule="auto"/>
      </w:pPr>
      <w:r>
        <w:separator/>
      </w:r>
    </w:p>
  </w:footnote>
  <w:footnote w:type="continuationSeparator" w:id="0">
    <w:p w:rsidR="00A24D13" w:rsidRDefault="00A24D13" w:rsidP="00A2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0" w:rsidRDefault="002C15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0" w:rsidRDefault="002C15A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5A0" w:rsidRDefault="002C15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AB1"/>
      </v:shape>
    </w:pict>
  </w:numPicBullet>
  <w:abstractNum w:abstractNumId="0">
    <w:nsid w:val="072B1C3A"/>
    <w:multiLevelType w:val="hybridMultilevel"/>
    <w:tmpl w:val="097E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DEB"/>
    <w:multiLevelType w:val="hybridMultilevel"/>
    <w:tmpl w:val="58B80A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22612"/>
    <w:multiLevelType w:val="hybridMultilevel"/>
    <w:tmpl w:val="981038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668CB"/>
    <w:multiLevelType w:val="hybridMultilevel"/>
    <w:tmpl w:val="5098690C"/>
    <w:lvl w:ilvl="0" w:tplc="5EA8F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1F8E"/>
    <w:multiLevelType w:val="hybridMultilevel"/>
    <w:tmpl w:val="35CA178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421026"/>
    <w:multiLevelType w:val="hybridMultilevel"/>
    <w:tmpl w:val="A66E55B6"/>
    <w:lvl w:ilvl="0" w:tplc="F59E2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E0DED"/>
    <w:multiLevelType w:val="hybridMultilevel"/>
    <w:tmpl w:val="10C83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30301"/>
    <w:multiLevelType w:val="hybridMultilevel"/>
    <w:tmpl w:val="5196652E"/>
    <w:lvl w:ilvl="0" w:tplc="B448E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30A1D"/>
    <w:multiLevelType w:val="hybridMultilevel"/>
    <w:tmpl w:val="403479F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324AE"/>
    <w:multiLevelType w:val="hybridMultilevel"/>
    <w:tmpl w:val="037ACCBA"/>
    <w:lvl w:ilvl="0" w:tplc="9E06F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94B"/>
    <w:multiLevelType w:val="hybridMultilevel"/>
    <w:tmpl w:val="9418F9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25C34"/>
    <w:multiLevelType w:val="hybridMultilevel"/>
    <w:tmpl w:val="E4B0E1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2306"/>
    <w:multiLevelType w:val="hybridMultilevel"/>
    <w:tmpl w:val="9DB6E212"/>
    <w:lvl w:ilvl="0" w:tplc="F85CA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5766D"/>
    <w:multiLevelType w:val="hybridMultilevel"/>
    <w:tmpl w:val="F17CA0F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83E94"/>
    <w:multiLevelType w:val="hybridMultilevel"/>
    <w:tmpl w:val="A66E55B6"/>
    <w:lvl w:ilvl="0" w:tplc="F59E2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469E0"/>
    <w:multiLevelType w:val="hybridMultilevel"/>
    <w:tmpl w:val="1DE097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13D11"/>
    <w:multiLevelType w:val="hybridMultilevel"/>
    <w:tmpl w:val="846A6046"/>
    <w:lvl w:ilvl="0" w:tplc="656A34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4"/>
  </w:num>
  <w:num w:numId="10">
    <w:abstractNumId w:val="5"/>
  </w:num>
  <w:num w:numId="11">
    <w:abstractNumId w:val="15"/>
  </w:num>
  <w:num w:numId="12">
    <w:abstractNumId w:val="16"/>
  </w:num>
  <w:num w:numId="13">
    <w:abstractNumId w:val="13"/>
  </w:num>
  <w:num w:numId="14">
    <w:abstractNumId w:val="12"/>
  </w:num>
  <w:num w:numId="15">
    <w:abstractNumId w:val="8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E4"/>
    <w:rsid w:val="0002610E"/>
    <w:rsid w:val="00026E4E"/>
    <w:rsid w:val="000367F5"/>
    <w:rsid w:val="000A442D"/>
    <w:rsid w:val="000C0D01"/>
    <w:rsid w:val="000F7931"/>
    <w:rsid w:val="00115F25"/>
    <w:rsid w:val="00122A2C"/>
    <w:rsid w:val="00177AFF"/>
    <w:rsid w:val="00187B1D"/>
    <w:rsid w:val="00195650"/>
    <w:rsid w:val="001C28EC"/>
    <w:rsid w:val="001D1852"/>
    <w:rsid w:val="001D22AD"/>
    <w:rsid w:val="001D6936"/>
    <w:rsid w:val="00206609"/>
    <w:rsid w:val="00210349"/>
    <w:rsid w:val="00226B6E"/>
    <w:rsid w:val="00236D67"/>
    <w:rsid w:val="002A47F8"/>
    <w:rsid w:val="002A6CCD"/>
    <w:rsid w:val="002B3565"/>
    <w:rsid w:val="002C15A0"/>
    <w:rsid w:val="002D47F2"/>
    <w:rsid w:val="002F15AA"/>
    <w:rsid w:val="002F4AFF"/>
    <w:rsid w:val="00307C65"/>
    <w:rsid w:val="0034712F"/>
    <w:rsid w:val="003775E5"/>
    <w:rsid w:val="003C1977"/>
    <w:rsid w:val="003E112D"/>
    <w:rsid w:val="00405FE5"/>
    <w:rsid w:val="00433534"/>
    <w:rsid w:val="0044503F"/>
    <w:rsid w:val="0044704F"/>
    <w:rsid w:val="00487FD1"/>
    <w:rsid w:val="004A0149"/>
    <w:rsid w:val="004C06C3"/>
    <w:rsid w:val="004C1ADE"/>
    <w:rsid w:val="004C7F2A"/>
    <w:rsid w:val="004E0CA1"/>
    <w:rsid w:val="00526E43"/>
    <w:rsid w:val="00531C88"/>
    <w:rsid w:val="00544C54"/>
    <w:rsid w:val="005506CE"/>
    <w:rsid w:val="005619F9"/>
    <w:rsid w:val="00563033"/>
    <w:rsid w:val="005803E4"/>
    <w:rsid w:val="005A44D1"/>
    <w:rsid w:val="005C0C78"/>
    <w:rsid w:val="005E0D62"/>
    <w:rsid w:val="00606E89"/>
    <w:rsid w:val="00607F78"/>
    <w:rsid w:val="00613B59"/>
    <w:rsid w:val="0062246A"/>
    <w:rsid w:val="006548EC"/>
    <w:rsid w:val="00663CF7"/>
    <w:rsid w:val="006A7A70"/>
    <w:rsid w:val="006E19C9"/>
    <w:rsid w:val="006F7426"/>
    <w:rsid w:val="00707F11"/>
    <w:rsid w:val="00721569"/>
    <w:rsid w:val="00733A28"/>
    <w:rsid w:val="00734909"/>
    <w:rsid w:val="0077398F"/>
    <w:rsid w:val="00785A1F"/>
    <w:rsid w:val="00795BAA"/>
    <w:rsid w:val="007C67C4"/>
    <w:rsid w:val="007D306B"/>
    <w:rsid w:val="00841AA1"/>
    <w:rsid w:val="00862805"/>
    <w:rsid w:val="008A0BA7"/>
    <w:rsid w:val="008B201A"/>
    <w:rsid w:val="008C422C"/>
    <w:rsid w:val="008C65FE"/>
    <w:rsid w:val="008D0F42"/>
    <w:rsid w:val="008F2132"/>
    <w:rsid w:val="00913043"/>
    <w:rsid w:val="009203CC"/>
    <w:rsid w:val="00921C7C"/>
    <w:rsid w:val="00993402"/>
    <w:rsid w:val="009A296C"/>
    <w:rsid w:val="009B17EA"/>
    <w:rsid w:val="009C002D"/>
    <w:rsid w:val="009C0F2B"/>
    <w:rsid w:val="009F53AE"/>
    <w:rsid w:val="00A22EFE"/>
    <w:rsid w:val="00A24D13"/>
    <w:rsid w:val="00A37503"/>
    <w:rsid w:val="00A41373"/>
    <w:rsid w:val="00A541BB"/>
    <w:rsid w:val="00A54882"/>
    <w:rsid w:val="00A601A8"/>
    <w:rsid w:val="00A802AC"/>
    <w:rsid w:val="00AB133E"/>
    <w:rsid w:val="00AC36DA"/>
    <w:rsid w:val="00AC46E1"/>
    <w:rsid w:val="00AC7F23"/>
    <w:rsid w:val="00AF67DF"/>
    <w:rsid w:val="00B172C0"/>
    <w:rsid w:val="00B345BF"/>
    <w:rsid w:val="00B36323"/>
    <w:rsid w:val="00B441AD"/>
    <w:rsid w:val="00BE6515"/>
    <w:rsid w:val="00C014CB"/>
    <w:rsid w:val="00C156B3"/>
    <w:rsid w:val="00C41C84"/>
    <w:rsid w:val="00C54534"/>
    <w:rsid w:val="00CA0083"/>
    <w:rsid w:val="00CA3378"/>
    <w:rsid w:val="00CA6885"/>
    <w:rsid w:val="00D273F5"/>
    <w:rsid w:val="00D40681"/>
    <w:rsid w:val="00D42123"/>
    <w:rsid w:val="00D515F6"/>
    <w:rsid w:val="00D529CD"/>
    <w:rsid w:val="00D70CBE"/>
    <w:rsid w:val="00D9542F"/>
    <w:rsid w:val="00DD69AA"/>
    <w:rsid w:val="00DF5D53"/>
    <w:rsid w:val="00E24440"/>
    <w:rsid w:val="00E348F9"/>
    <w:rsid w:val="00E4047B"/>
    <w:rsid w:val="00E57B1A"/>
    <w:rsid w:val="00E61E6B"/>
    <w:rsid w:val="00E67CC6"/>
    <w:rsid w:val="00EA34DD"/>
    <w:rsid w:val="00EA4150"/>
    <w:rsid w:val="00EC6724"/>
    <w:rsid w:val="00ED714B"/>
    <w:rsid w:val="00EE1FFF"/>
    <w:rsid w:val="00EE7796"/>
    <w:rsid w:val="00F0253C"/>
    <w:rsid w:val="00F2130C"/>
    <w:rsid w:val="00F23934"/>
    <w:rsid w:val="00F26BDF"/>
    <w:rsid w:val="00F33B11"/>
    <w:rsid w:val="00F51FCD"/>
    <w:rsid w:val="00F70CFB"/>
    <w:rsid w:val="00F70D8E"/>
    <w:rsid w:val="00F76628"/>
    <w:rsid w:val="00F84311"/>
    <w:rsid w:val="00FC49C7"/>
    <w:rsid w:val="00FD1570"/>
    <w:rsid w:val="00FD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14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C8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67D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D13"/>
  </w:style>
  <w:style w:type="paragraph" w:styleId="Pieddepage">
    <w:name w:val="footer"/>
    <w:basedOn w:val="Normal"/>
    <w:link w:val="PieddepageCar"/>
    <w:uiPriority w:val="99"/>
    <w:unhideWhenUsed/>
    <w:rsid w:val="00A2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12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14C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41C8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67D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2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4D13"/>
  </w:style>
  <w:style w:type="paragraph" w:styleId="Pieddepage">
    <w:name w:val="footer"/>
    <w:basedOn w:val="Normal"/>
    <w:link w:val="PieddepageCar"/>
    <w:uiPriority w:val="99"/>
    <w:unhideWhenUsed/>
    <w:rsid w:val="00A24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4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dcs-mission-politique-ville-integration@paris.gouv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mmigration.interieur.gouv.fr/Info-ressources/Fonds-europeens/Les-nouveaux-fonds-europeens-periode-2014-2020/Appel-a-projets-Fonds-Asile-Migration-et-Integra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u-alph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0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4C525-4BA6-49EB-BCE5-2DB94746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4</Pages>
  <Words>1377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LAVARDE Dominique</dc:creator>
  <cp:keywords/>
  <dc:description/>
  <cp:lastModifiedBy>LAVARDE Dominique</cp:lastModifiedBy>
  <cp:revision>47</cp:revision>
  <cp:lastPrinted>2016-10-25T10:56:00Z</cp:lastPrinted>
  <dcterms:created xsi:type="dcterms:W3CDTF">2016-07-18T14:33:00Z</dcterms:created>
  <dcterms:modified xsi:type="dcterms:W3CDTF">2016-10-25T10:57:00Z</dcterms:modified>
</cp:coreProperties>
</file>